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A8F3C">
      <w:pPr>
        <w:pStyle w:val="39"/>
        <w:spacing w:after="0" w:line="560" w:lineRule="exact"/>
        <w:rPr>
          <w:rFonts w:eastAsia="楷体_GB2312"/>
          <w:i/>
          <w:color w:val="FF0000"/>
          <w:lang w:eastAsia="zh-CN"/>
        </w:rPr>
      </w:pPr>
      <w:r>
        <w:rPr>
          <w:rFonts w:eastAsia="楷体_GB2312"/>
          <w:i/>
          <w:color w:val="FF0000"/>
          <w:lang w:eastAsia="zh-CN"/>
        </w:rPr>
        <w:t>【注：本合同版本根据人民银行、金融监管总局资产证券化相关规定以及交易商协会相关自律规则起草，作为</w:t>
      </w:r>
      <w:bookmarkStart w:id="0" w:name="_Hlk221667399"/>
      <w:r>
        <w:rPr>
          <w:rFonts w:eastAsia="楷体_GB2312"/>
          <w:i/>
          <w:color w:val="FF0000"/>
          <w:lang w:eastAsia="zh-CN"/>
        </w:rPr>
        <w:t>微小</w:t>
      </w:r>
      <w:bookmarkEnd w:id="0"/>
      <w:r>
        <w:rPr>
          <w:rFonts w:eastAsia="楷体_GB2312"/>
          <w:i/>
          <w:color w:val="FF0000"/>
          <w:lang w:eastAsia="zh-CN"/>
        </w:rPr>
        <w:t>企业贷款资产支持证券的标准</w:t>
      </w:r>
      <w:bookmarkStart w:id="150" w:name="_GoBack"/>
      <w:r>
        <w:rPr>
          <w:rFonts w:eastAsia="楷体_GB2312"/>
          <w:i/>
          <w:color w:val="FF0000"/>
          <w:lang w:eastAsia="zh-CN"/>
        </w:rPr>
        <w:t>范本</w:t>
      </w:r>
      <w:bookmarkEnd w:id="150"/>
      <w:r>
        <w:rPr>
          <w:rFonts w:eastAsia="楷体_GB2312"/>
          <w:i/>
          <w:color w:val="FF0000"/>
          <w:lang w:eastAsia="zh-CN"/>
        </w:rPr>
        <w:t>供市场机构参考</w:t>
      </w:r>
      <w:r>
        <w:rPr>
          <w:rStyle w:val="27"/>
          <w:rFonts w:eastAsia="楷体_GB2312"/>
          <w:i/>
          <w:color w:val="FF0000"/>
          <w:lang w:eastAsia="zh-CN"/>
        </w:rPr>
        <w:footnoteReference w:id="0"/>
      </w:r>
      <w:r>
        <w:rPr>
          <w:rFonts w:eastAsia="楷体_GB2312"/>
          <w:i/>
          <w:color w:val="FF0000"/>
          <w:lang w:eastAsia="zh-CN"/>
        </w:rPr>
        <w:t>。开展微小企业贷款资产支持证券的贷款</w:t>
      </w:r>
      <w:r>
        <w:rPr>
          <w:rFonts w:eastAsia="楷体_GB2312"/>
          <w:i/>
          <w:color w:val="FF0000"/>
          <w:lang w:val="en-US" w:eastAsia="zh-CN"/>
        </w:rPr>
        <w:t>资产</w:t>
      </w:r>
      <w:r>
        <w:rPr>
          <w:rFonts w:eastAsia="楷体_GB2312"/>
          <w:i/>
          <w:color w:val="FF0000"/>
          <w:lang w:eastAsia="zh-CN"/>
        </w:rPr>
        <w:t>应符合相关监管要求及交易商协会相关自律规则。】</w:t>
      </w:r>
    </w:p>
    <w:p w14:paraId="5065AEC3">
      <w:pPr>
        <w:pStyle w:val="39"/>
        <w:spacing w:after="0" w:line="560" w:lineRule="exact"/>
        <w:jc w:val="right"/>
        <w:rPr>
          <w:rFonts w:eastAsia="楷体_GB2312"/>
          <w:lang w:val="en-US" w:eastAsia="zh-CN"/>
        </w:rPr>
      </w:pPr>
      <w:r>
        <w:rPr>
          <w:rFonts w:eastAsia="楷体_GB2312"/>
          <w:lang w:val="en-US" w:eastAsia="zh-CN"/>
        </w:rPr>
        <w:t>合同编号：【主定义表编号】</w:t>
      </w:r>
    </w:p>
    <w:p w14:paraId="67EE50FE">
      <w:pPr>
        <w:pStyle w:val="39"/>
        <w:spacing w:after="0" w:line="560" w:lineRule="exact"/>
        <w:jc w:val="both"/>
        <w:rPr>
          <w:rFonts w:eastAsia="楷体_GB2312"/>
          <w:sz w:val="32"/>
          <w:szCs w:val="32"/>
          <w:lang w:val="en-US" w:eastAsia="zh-CN"/>
        </w:rPr>
      </w:pPr>
    </w:p>
    <w:p w14:paraId="3CA61E87">
      <w:pPr>
        <w:pStyle w:val="39"/>
        <w:spacing w:after="0" w:line="560" w:lineRule="exact"/>
        <w:jc w:val="both"/>
        <w:rPr>
          <w:rFonts w:eastAsia="楷体_GB2312"/>
          <w:sz w:val="32"/>
          <w:szCs w:val="32"/>
          <w:lang w:val="en-US" w:eastAsia="zh-CN"/>
        </w:rPr>
      </w:pPr>
    </w:p>
    <w:p w14:paraId="4BEDFD5B">
      <w:pPr>
        <w:pStyle w:val="39"/>
        <w:spacing w:after="0" w:line="560" w:lineRule="exact"/>
        <w:jc w:val="center"/>
        <w:rPr>
          <w:rFonts w:eastAsia="楷体_GB2312"/>
          <w:b w:val="0"/>
          <w:sz w:val="36"/>
          <w:szCs w:val="36"/>
          <w:lang w:eastAsia="zh-CN"/>
        </w:rPr>
      </w:pPr>
      <w:r>
        <w:rPr>
          <w:rFonts w:eastAsia="楷体_GB2312"/>
          <w:sz w:val="36"/>
          <w:szCs w:val="36"/>
          <w:lang w:val="en-US" w:eastAsia="zh-CN"/>
        </w:rPr>
        <w:t>【发起机构全称】</w:t>
      </w:r>
    </w:p>
    <w:p w14:paraId="041D5D82">
      <w:pPr>
        <w:pStyle w:val="39"/>
        <w:spacing w:after="0" w:line="560" w:lineRule="exact"/>
        <w:jc w:val="center"/>
        <w:rPr>
          <w:rFonts w:eastAsia="楷体_GB2312"/>
          <w:bCs/>
          <w:lang w:eastAsia="zh-CN"/>
        </w:rPr>
      </w:pPr>
      <w:r>
        <w:rPr>
          <w:rFonts w:eastAsia="楷体_GB2312"/>
          <w:bCs/>
          <w:lang w:eastAsia="zh-CN"/>
        </w:rPr>
        <w:t>（作为委托人</w:t>
      </w:r>
      <w:r>
        <w:rPr>
          <w:rFonts w:hint="eastAsia" w:eastAsia="楷体_GB2312"/>
          <w:bCs/>
          <w:lang w:eastAsia="zh-CN"/>
        </w:rPr>
        <w:t>和</w:t>
      </w:r>
      <w:r>
        <w:rPr>
          <w:rFonts w:eastAsia="楷体_GB2312"/>
          <w:bCs/>
          <w:lang w:eastAsia="zh-CN"/>
        </w:rPr>
        <w:t>发起机构）</w:t>
      </w:r>
    </w:p>
    <w:p w14:paraId="759908B5">
      <w:pPr>
        <w:pStyle w:val="39"/>
        <w:spacing w:after="0" w:line="560" w:lineRule="exact"/>
        <w:jc w:val="center"/>
        <w:rPr>
          <w:rFonts w:eastAsia="楷体_GB2312"/>
          <w:bCs/>
          <w:lang w:eastAsia="zh-CN"/>
        </w:rPr>
      </w:pPr>
    </w:p>
    <w:p w14:paraId="0AF008B6">
      <w:pPr>
        <w:pStyle w:val="39"/>
        <w:spacing w:after="0" w:line="560" w:lineRule="exact"/>
        <w:jc w:val="center"/>
        <w:rPr>
          <w:rFonts w:eastAsia="楷体_GB2312"/>
          <w:bCs/>
          <w:sz w:val="36"/>
          <w:szCs w:val="36"/>
          <w:lang w:eastAsia="zh-CN"/>
        </w:rPr>
      </w:pPr>
      <w:r>
        <w:rPr>
          <w:rFonts w:eastAsia="楷体_GB2312"/>
          <w:bCs/>
          <w:sz w:val="36"/>
          <w:szCs w:val="36"/>
          <w:lang w:eastAsia="zh-CN"/>
        </w:rPr>
        <w:t>与</w:t>
      </w:r>
    </w:p>
    <w:p w14:paraId="358AD275">
      <w:pPr>
        <w:pStyle w:val="39"/>
        <w:spacing w:after="0" w:line="560" w:lineRule="exact"/>
        <w:jc w:val="center"/>
        <w:rPr>
          <w:rFonts w:eastAsia="楷体_GB2312"/>
          <w:lang w:eastAsia="zh-CN"/>
        </w:rPr>
      </w:pPr>
    </w:p>
    <w:p w14:paraId="29B8B004">
      <w:pPr>
        <w:pStyle w:val="39"/>
        <w:spacing w:after="0" w:line="560" w:lineRule="exact"/>
        <w:jc w:val="center"/>
        <w:rPr>
          <w:rFonts w:eastAsia="楷体_GB2312"/>
          <w:sz w:val="36"/>
          <w:szCs w:val="36"/>
          <w:lang w:val="en-US" w:eastAsia="zh-CN"/>
        </w:rPr>
      </w:pPr>
      <w:r>
        <w:rPr>
          <w:rFonts w:eastAsia="楷体_GB2312"/>
          <w:sz w:val="36"/>
          <w:szCs w:val="36"/>
          <w:lang w:val="en-US" w:eastAsia="zh-CN"/>
        </w:rPr>
        <w:t>【受托机构全称】</w:t>
      </w:r>
    </w:p>
    <w:p w14:paraId="2D45574E">
      <w:pPr>
        <w:pStyle w:val="39"/>
        <w:spacing w:after="0" w:line="560" w:lineRule="exact"/>
        <w:jc w:val="center"/>
        <w:rPr>
          <w:rFonts w:eastAsia="楷体_GB2312"/>
          <w:b w:val="0"/>
          <w:caps w:val="0"/>
          <w:lang w:eastAsia="zh-CN"/>
        </w:rPr>
      </w:pPr>
      <w:r>
        <w:rPr>
          <w:rFonts w:eastAsia="楷体_GB2312"/>
          <w:lang w:eastAsia="zh-CN"/>
        </w:rPr>
        <w:t>（作为受托人、受托机构和发行人）</w:t>
      </w:r>
    </w:p>
    <w:p w14:paraId="58331A9C">
      <w:pPr>
        <w:pStyle w:val="39"/>
        <w:spacing w:after="0" w:line="560" w:lineRule="exact"/>
        <w:jc w:val="center"/>
        <w:rPr>
          <w:rFonts w:eastAsia="楷体_GB2312"/>
          <w:b w:val="0"/>
          <w:sz w:val="32"/>
          <w:szCs w:val="32"/>
          <w:lang w:eastAsia="zh-CN"/>
        </w:rPr>
      </w:pPr>
    </w:p>
    <w:p w14:paraId="3B90B341">
      <w:pPr>
        <w:pStyle w:val="39"/>
        <w:spacing w:after="0" w:line="560" w:lineRule="exact"/>
        <w:jc w:val="center"/>
        <w:rPr>
          <w:rFonts w:eastAsia="楷体_GB2312"/>
          <w:b w:val="0"/>
          <w:sz w:val="32"/>
          <w:szCs w:val="32"/>
          <w:lang w:eastAsia="zh-CN"/>
        </w:rPr>
      </w:pPr>
    </w:p>
    <w:p w14:paraId="3939A3A0">
      <w:pPr>
        <w:pStyle w:val="5"/>
        <w:spacing w:after="0" w:line="560" w:lineRule="exact"/>
        <w:ind w:left="-1" w:leftChars="-1" w:right="26" w:hanging="1"/>
        <w:jc w:val="center"/>
        <w:rPr>
          <w:rFonts w:eastAsia="楷体_GB2312"/>
          <w:b/>
          <w:bCs/>
          <w:sz w:val="36"/>
          <w:szCs w:val="36"/>
        </w:rPr>
      </w:pPr>
      <w:r>
        <w:rPr>
          <w:rFonts w:eastAsia="楷体_GB2312"/>
          <w:b/>
          <w:bCs/>
          <w:color w:val="000000"/>
          <w:sz w:val="36"/>
          <w:szCs w:val="36"/>
        </w:rPr>
        <w:t>【信托名称】</w:t>
      </w:r>
    </w:p>
    <w:p w14:paraId="7346F0E3">
      <w:pPr>
        <w:pStyle w:val="39"/>
        <w:spacing w:after="0" w:line="560" w:lineRule="exact"/>
        <w:jc w:val="center"/>
        <w:rPr>
          <w:rFonts w:eastAsia="楷体_GB2312"/>
          <w:sz w:val="36"/>
          <w:szCs w:val="36"/>
          <w:lang w:eastAsia="zh-CN"/>
        </w:rPr>
      </w:pPr>
      <w:r>
        <w:rPr>
          <w:rFonts w:eastAsia="楷体_GB2312"/>
          <w:sz w:val="36"/>
          <w:szCs w:val="36"/>
          <w:lang w:eastAsia="zh-CN"/>
        </w:rPr>
        <w:t>主定义表</w:t>
      </w:r>
    </w:p>
    <w:p w14:paraId="03942469">
      <w:pPr>
        <w:pStyle w:val="5"/>
        <w:spacing w:after="0" w:line="560" w:lineRule="exact"/>
        <w:ind w:left="1800" w:right="1440"/>
        <w:jc w:val="center"/>
        <w:rPr>
          <w:rFonts w:eastAsia="楷体_GB2312"/>
          <w:b/>
          <w:bCs/>
          <w:sz w:val="32"/>
          <w:szCs w:val="32"/>
        </w:rPr>
      </w:pPr>
    </w:p>
    <w:p w14:paraId="65459201">
      <w:pPr>
        <w:pStyle w:val="5"/>
        <w:spacing w:after="0" w:line="560" w:lineRule="exact"/>
        <w:ind w:left="1800" w:right="1440"/>
        <w:jc w:val="center"/>
        <w:rPr>
          <w:rFonts w:eastAsia="楷体_GB2312"/>
          <w:b/>
          <w:bCs/>
          <w:sz w:val="32"/>
          <w:szCs w:val="32"/>
        </w:rPr>
      </w:pPr>
    </w:p>
    <w:p w14:paraId="38FF239B">
      <w:pPr>
        <w:spacing w:line="560" w:lineRule="exact"/>
        <w:jc w:val="center"/>
        <w:rPr>
          <w:rFonts w:eastAsia="楷体_GB2312"/>
          <w:b/>
          <w:color w:val="000000" w:themeColor="text1"/>
          <w:sz w:val="28"/>
          <w:szCs w:val="28"/>
          <w14:textFill>
            <w14:solidFill>
              <w14:schemeClr w14:val="tx1"/>
            </w14:solidFill>
          </w14:textFill>
        </w:rPr>
      </w:pPr>
      <w:r>
        <w:rPr>
          <w:rFonts w:eastAsia="楷体_GB2312"/>
          <w:b/>
          <w:color w:val="000000" w:themeColor="text1"/>
          <w:sz w:val="28"/>
          <w:szCs w:val="28"/>
          <w14:textFill>
            <w14:solidFill>
              <w14:schemeClr w14:val="tx1"/>
            </w14:solidFill>
          </w14:textFill>
        </w:rPr>
        <w:t>中国</w:t>
      </w:r>
      <w:r>
        <w:rPr>
          <w:rFonts w:eastAsia="楷体_GB2312"/>
          <w:b/>
          <w:color w:val="000000" w:themeColor="text1"/>
          <w:sz w:val="28"/>
          <w:szCs w:val="28"/>
          <w14:textFill>
            <w14:solidFill>
              <w14:schemeClr w14:val="tx1"/>
            </w14:solidFill>
          </w14:textFill>
        </w:rPr>
        <w:tab/>
      </w:r>
      <w:r>
        <w:rPr>
          <w:rFonts w:eastAsia="楷体_GB2312"/>
          <w:b/>
          <w:bCs/>
          <w:color w:val="000000" w:themeColor="text1"/>
          <w:sz w:val="28"/>
          <w:szCs w:val="28"/>
          <w14:textFill>
            <w14:solidFill>
              <w14:schemeClr w14:val="tx1"/>
            </w14:solidFill>
          </w14:textFill>
        </w:rPr>
        <w:t>【  】</w:t>
      </w:r>
    </w:p>
    <w:p w14:paraId="2F05B2B9">
      <w:pPr>
        <w:spacing w:line="560" w:lineRule="exact"/>
        <w:jc w:val="center"/>
        <w:rPr>
          <w:rFonts w:eastAsia="楷体_GB2312"/>
          <w:b/>
          <w:bCs/>
          <w:color w:val="000000"/>
          <w:sz w:val="28"/>
          <w:szCs w:val="28"/>
        </w:rPr>
      </w:pPr>
      <w:r>
        <w:rPr>
          <w:rFonts w:eastAsia="楷体_GB2312"/>
          <w:b/>
          <w:bCs/>
          <w:color w:val="000000" w:themeColor="text1"/>
          <w:sz w:val="28"/>
          <w:szCs w:val="28"/>
          <w14:textFill>
            <w14:solidFill>
              <w14:schemeClr w14:val="tx1"/>
            </w14:solidFill>
          </w14:textFill>
        </w:rPr>
        <w:t>【  】年【  】月</w:t>
      </w:r>
    </w:p>
    <w:p w14:paraId="08A62CA4">
      <w:pPr>
        <w:spacing w:line="560" w:lineRule="exact"/>
        <w:rPr>
          <w:rFonts w:eastAsia="楷体_GB2312"/>
          <w:sz w:val="24"/>
        </w:rPr>
        <w:sectPr>
          <w:footerReference r:id="rId7" w:type="first"/>
          <w:headerReference r:id="rId4" w:type="default"/>
          <w:footerReference r:id="rId5" w:type="default"/>
          <w:footerReference r:id="rId6" w:type="even"/>
          <w:pgSz w:w="11906" w:h="16838"/>
          <w:pgMar w:top="1440" w:right="1800" w:bottom="1440" w:left="1800" w:header="851" w:footer="992" w:gutter="0"/>
          <w:cols w:space="425" w:num="1"/>
          <w:titlePg/>
          <w:docGrid w:type="lines" w:linePitch="312" w:charSpace="0"/>
        </w:sectPr>
      </w:pPr>
      <w:bookmarkStart w:id="1" w:name="_DV_M14"/>
      <w:bookmarkEnd w:id="1"/>
    </w:p>
    <w:p w14:paraId="6A0B435A">
      <w:pPr>
        <w:spacing w:line="400" w:lineRule="atLeast"/>
        <w:jc w:val="center"/>
        <w:rPr>
          <w:rFonts w:eastAsia="楷体_GB2312"/>
          <w:b/>
          <w:sz w:val="28"/>
          <w:szCs w:val="28"/>
        </w:rPr>
      </w:pPr>
      <w:r>
        <w:rPr>
          <w:rFonts w:eastAsia="楷体_GB2312"/>
          <w:b/>
          <w:sz w:val="28"/>
          <w:szCs w:val="28"/>
        </w:rPr>
        <w:t>目</w:t>
      </w:r>
      <w:r>
        <w:rPr>
          <w:rFonts w:eastAsia="楷体_GB2312"/>
          <w:b/>
          <w:sz w:val="28"/>
          <w:szCs w:val="28"/>
        </w:rPr>
        <w:tab/>
      </w:r>
      <w:r>
        <w:rPr>
          <w:rFonts w:eastAsia="楷体_GB2312"/>
          <w:b/>
          <w:sz w:val="28"/>
          <w:szCs w:val="28"/>
        </w:rPr>
        <w:t>录</w:t>
      </w:r>
    </w:p>
    <w:p w14:paraId="4D23C13D">
      <w:pPr>
        <w:pStyle w:val="13"/>
        <w:tabs>
          <w:tab w:val="right" w:leader="dot" w:pos="8296"/>
        </w:tabs>
        <w:jc w:val="both"/>
        <w:rPr>
          <w:rFonts w:eastAsia="楷体_GB2312"/>
          <w:b w:val="0"/>
          <w:bCs w:val="0"/>
          <w:caps w:val="0"/>
          <w:sz w:val="24"/>
          <w:szCs w:val="24"/>
        </w:rPr>
      </w:pPr>
      <w:r>
        <w:rPr>
          <w:rFonts w:eastAsia="楷体_GB2312"/>
          <w:sz w:val="24"/>
          <w:szCs w:val="24"/>
        </w:rPr>
        <w:fldChar w:fldCharType="begin"/>
      </w:r>
      <w:r>
        <w:rPr>
          <w:rFonts w:eastAsia="楷体_GB2312"/>
          <w:sz w:val="24"/>
          <w:szCs w:val="24"/>
        </w:rPr>
        <w:instrText xml:space="preserve"> TOC \o "1-1" \h \z \u </w:instrText>
      </w:r>
      <w:r>
        <w:rPr>
          <w:rFonts w:eastAsia="楷体_GB2312"/>
          <w:sz w:val="24"/>
          <w:szCs w:val="24"/>
        </w:rPr>
        <w:fldChar w:fldCharType="separate"/>
      </w:r>
      <w:r>
        <w:fldChar w:fldCharType="begin"/>
      </w:r>
      <w:r>
        <w:instrText xml:space="preserve">HYPERLINK \l "_Toc510596656"</w:instrText>
      </w:r>
      <w:r>
        <w:fldChar w:fldCharType="separate"/>
      </w:r>
      <w:r>
        <w:rPr>
          <w:rStyle w:val="25"/>
          <w:rFonts w:eastAsia="楷体_GB2312"/>
          <w:sz w:val="24"/>
          <w:szCs w:val="24"/>
        </w:rPr>
        <w:t>一、定义</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_Toc510596656 \h </w:instrText>
      </w:r>
      <w:r>
        <w:rPr>
          <w:rFonts w:eastAsia="楷体_GB2312"/>
          <w:sz w:val="24"/>
          <w:szCs w:val="24"/>
        </w:rPr>
        <w:fldChar w:fldCharType="separate"/>
      </w:r>
      <w:r>
        <w:rPr>
          <w:rFonts w:eastAsia="楷体_GB2312"/>
          <w:sz w:val="24"/>
          <w:szCs w:val="24"/>
        </w:rPr>
        <w:t>2</w:t>
      </w:r>
      <w:r>
        <w:rPr>
          <w:rFonts w:eastAsia="楷体_GB2312"/>
          <w:sz w:val="24"/>
          <w:szCs w:val="24"/>
        </w:rPr>
        <w:fldChar w:fldCharType="end"/>
      </w:r>
      <w:r>
        <w:fldChar w:fldCharType="end"/>
      </w:r>
    </w:p>
    <w:p w14:paraId="6FB9306D">
      <w:pPr>
        <w:pStyle w:val="13"/>
        <w:tabs>
          <w:tab w:val="right" w:leader="dot" w:pos="8296"/>
        </w:tabs>
        <w:jc w:val="both"/>
        <w:rPr>
          <w:rFonts w:eastAsia="楷体_GB2312"/>
          <w:b w:val="0"/>
          <w:bCs w:val="0"/>
          <w:caps w:val="0"/>
          <w:sz w:val="24"/>
          <w:szCs w:val="24"/>
        </w:rPr>
      </w:pPr>
      <w:r>
        <w:fldChar w:fldCharType="begin"/>
      </w:r>
      <w:r>
        <w:instrText xml:space="preserve">HYPERLINK \l "_Toc510596657"</w:instrText>
      </w:r>
      <w:r>
        <w:fldChar w:fldCharType="separate"/>
      </w:r>
      <w:r>
        <w:rPr>
          <w:rStyle w:val="25"/>
          <w:rFonts w:eastAsia="楷体_GB2312"/>
          <w:sz w:val="24"/>
          <w:szCs w:val="24"/>
        </w:rPr>
        <w:t>二、法律条款</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_Toc510596657 \h </w:instrText>
      </w:r>
      <w:r>
        <w:rPr>
          <w:rFonts w:eastAsia="楷体_GB2312"/>
          <w:sz w:val="24"/>
          <w:szCs w:val="24"/>
        </w:rPr>
        <w:fldChar w:fldCharType="separate"/>
      </w:r>
      <w:r>
        <w:rPr>
          <w:rFonts w:eastAsia="楷体_GB2312"/>
          <w:sz w:val="24"/>
          <w:szCs w:val="24"/>
        </w:rPr>
        <w:t>37</w:t>
      </w:r>
      <w:r>
        <w:rPr>
          <w:rFonts w:eastAsia="楷体_GB2312"/>
          <w:sz w:val="24"/>
          <w:szCs w:val="24"/>
        </w:rPr>
        <w:fldChar w:fldCharType="end"/>
      </w:r>
      <w:r>
        <w:fldChar w:fldCharType="end"/>
      </w:r>
    </w:p>
    <w:p w14:paraId="2E83BBB0">
      <w:pPr>
        <w:pStyle w:val="13"/>
        <w:tabs>
          <w:tab w:val="right" w:leader="dot" w:pos="8296"/>
        </w:tabs>
        <w:jc w:val="both"/>
        <w:rPr>
          <w:rFonts w:eastAsia="楷体_GB2312"/>
          <w:b w:val="0"/>
          <w:bCs w:val="0"/>
          <w:caps w:val="0"/>
          <w:sz w:val="24"/>
          <w:szCs w:val="24"/>
        </w:rPr>
      </w:pPr>
      <w:r>
        <w:fldChar w:fldCharType="begin"/>
      </w:r>
      <w:r>
        <w:instrText xml:space="preserve">HYPERLINK \l "_Toc510596658"</w:instrText>
      </w:r>
      <w:r>
        <w:fldChar w:fldCharType="separate"/>
      </w:r>
      <w:r>
        <w:rPr>
          <w:rStyle w:val="25"/>
          <w:rFonts w:eastAsia="楷体_GB2312"/>
          <w:sz w:val="24"/>
          <w:szCs w:val="24"/>
        </w:rPr>
        <w:t>三、修改</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_Toc510596658 \h </w:instrText>
      </w:r>
      <w:r>
        <w:rPr>
          <w:rFonts w:eastAsia="楷体_GB2312"/>
          <w:sz w:val="24"/>
          <w:szCs w:val="24"/>
        </w:rPr>
        <w:fldChar w:fldCharType="separate"/>
      </w:r>
      <w:r>
        <w:rPr>
          <w:rFonts w:eastAsia="楷体_GB2312"/>
          <w:sz w:val="24"/>
          <w:szCs w:val="24"/>
        </w:rPr>
        <w:t>37</w:t>
      </w:r>
      <w:r>
        <w:rPr>
          <w:rFonts w:eastAsia="楷体_GB2312"/>
          <w:sz w:val="24"/>
          <w:szCs w:val="24"/>
        </w:rPr>
        <w:fldChar w:fldCharType="end"/>
      </w:r>
      <w:r>
        <w:fldChar w:fldCharType="end"/>
      </w:r>
    </w:p>
    <w:p w14:paraId="0EC40C9B">
      <w:pPr>
        <w:pStyle w:val="13"/>
        <w:tabs>
          <w:tab w:val="right" w:leader="dot" w:pos="8296"/>
        </w:tabs>
        <w:jc w:val="both"/>
        <w:rPr>
          <w:rFonts w:eastAsia="楷体_GB2312"/>
          <w:b w:val="0"/>
          <w:bCs w:val="0"/>
          <w:caps w:val="0"/>
          <w:sz w:val="24"/>
          <w:szCs w:val="24"/>
        </w:rPr>
      </w:pPr>
      <w:r>
        <w:fldChar w:fldCharType="begin"/>
      </w:r>
      <w:r>
        <w:instrText xml:space="preserve">HYPERLINK \l "_Toc510596659"</w:instrText>
      </w:r>
      <w:r>
        <w:fldChar w:fldCharType="separate"/>
      </w:r>
      <w:r>
        <w:rPr>
          <w:rStyle w:val="25"/>
          <w:rFonts w:eastAsia="楷体_GB2312"/>
          <w:sz w:val="24"/>
          <w:szCs w:val="24"/>
        </w:rPr>
        <w:t>四、条款</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_Toc510596659 \h </w:instrText>
      </w:r>
      <w:r>
        <w:rPr>
          <w:rFonts w:eastAsia="楷体_GB2312"/>
          <w:sz w:val="24"/>
          <w:szCs w:val="24"/>
        </w:rPr>
        <w:fldChar w:fldCharType="separate"/>
      </w:r>
      <w:r>
        <w:rPr>
          <w:rFonts w:eastAsia="楷体_GB2312"/>
          <w:sz w:val="24"/>
          <w:szCs w:val="24"/>
        </w:rPr>
        <w:t>37</w:t>
      </w:r>
      <w:r>
        <w:rPr>
          <w:rFonts w:eastAsia="楷体_GB2312"/>
          <w:sz w:val="24"/>
          <w:szCs w:val="24"/>
        </w:rPr>
        <w:fldChar w:fldCharType="end"/>
      </w:r>
      <w:r>
        <w:fldChar w:fldCharType="end"/>
      </w:r>
    </w:p>
    <w:p w14:paraId="12245C98">
      <w:pPr>
        <w:pStyle w:val="13"/>
        <w:tabs>
          <w:tab w:val="right" w:leader="dot" w:pos="8296"/>
        </w:tabs>
        <w:jc w:val="both"/>
        <w:rPr>
          <w:rFonts w:eastAsia="楷体_GB2312"/>
          <w:b w:val="0"/>
          <w:bCs w:val="0"/>
          <w:caps w:val="0"/>
          <w:sz w:val="24"/>
          <w:szCs w:val="24"/>
        </w:rPr>
      </w:pPr>
      <w:r>
        <w:fldChar w:fldCharType="begin"/>
      </w:r>
      <w:r>
        <w:instrText xml:space="preserve">HYPERLINK \l "_Toc510596660"</w:instrText>
      </w:r>
      <w:r>
        <w:fldChar w:fldCharType="separate"/>
      </w:r>
      <w:r>
        <w:rPr>
          <w:rStyle w:val="25"/>
          <w:rFonts w:eastAsia="楷体_GB2312"/>
          <w:sz w:val="24"/>
          <w:szCs w:val="24"/>
        </w:rPr>
        <w:t>五、附件</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_Toc510596660 \h </w:instrText>
      </w:r>
      <w:r>
        <w:rPr>
          <w:rFonts w:eastAsia="楷体_GB2312"/>
          <w:sz w:val="24"/>
          <w:szCs w:val="24"/>
        </w:rPr>
        <w:fldChar w:fldCharType="separate"/>
      </w:r>
      <w:r>
        <w:rPr>
          <w:rFonts w:eastAsia="楷体_GB2312"/>
          <w:sz w:val="24"/>
          <w:szCs w:val="24"/>
        </w:rPr>
        <w:t>37</w:t>
      </w:r>
      <w:r>
        <w:rPr>
          <w:rFonts w:eastAsia="楷体_GB2312"/>
          <w:sz w:val="24"/>
          <w:szCs w:val="24"/>
        </w:rPr>
        <w:fldChar w:fldCharType="end"/>
      </w:r>
      <w:r>
        <w:fldChar w:fldCharType="end"/>
      </w:r>
    </w:p>
    <w:p w14:paraId="1800F53C">
      <w:pPr>
        <w:pStyle w:val="13"/>
        <w:tabs>
          <w:tab w:val="right" w:leader="dot" w:pos="8296"/>
        </w:tabs>
        <w:jc w:val="both"/>
        <w:rPr>
          <w:rFonts w:eastAsia="楷体_GB2312"/>
          <w:b w:val="0"/>
          <w:bCs w:val="0"/>
          <w:caps w:val="0"/>
          <w:sz w:val="24"/>
          <w:szCs w:val="24"/>
        </w:rPr>
      </w:pPr>
      <w:r>
        <w:fldChar w:fldCharType="begin"/>
      </w:r>
      <w:r>
        <w:instrText xml:space="preserve">HYPERLINK \l "_Toc510596661"</w:instrText>
      </w:r>
      <w:r>
        <w:fldChar w:fldCharType="separate"/>
      </w:r>
      <w:r>
        <w:rPr>
          <w:rStyle w:val="25"/>
          <w:rFonts w:eastAsia="楷体_GB2312"/>
          <w:sz w:val="24"/>
          <w:szCs w:val="24"/>
        </w:rPr>
        <w:t>六、标题</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_Toc510596661 \h </w:instrText>
      </w:r>
      <w:r>
        <w:rPr>
          <w:rFonts w:eastAsia="楷体_GB2312"/>
          <w:sz w:val="24"/>
          <w:szCs w:val="24"/>
        </w:rPr>
        <w:fldChar w:fldCharType="separate"/>
      </w:r>
      <w:r>
        <w:rPr>
          <w:rFonts w:eastAsia="楷体_GB2312"/>
          <w:sz w:val="24"/>
          <w:szCs w:val="24"/>
        </w:rPr>
        <w:t>37</w:t>
      </w:r>
      <w:r>
        <w:rPr>
          <w:rFonts w:eastAsia="楷体_GB2312"/>
          <w:sz w:val="24"/>
          <w:szCs w:val="24"/>
        </w:rPr>
        <w:fldChar w:fldCharType="end"/>
      </w:r>
      <w:r>
        <w:fldChar w:fldCharType="end"/>
      </w:r>
    </w:p>
    <w:p w14:paraId="77CCB33E">
      <w:pPr>
        <w:pStyle w:val="13"/>
        <w:tabs>
          <w:tab w:val="right" w:leader="dot" w:pos="8296"/>
        </w:tabs>
        <w:jc w:val="both"/>
        <w:rPr>
          <w:rFonts w:eastAsia="楷体_GB2312"/>
          <w:b w:val="0"/>
          <w:bCs w:val="0"/>
          <w:caps w:val="0"/>
          <w:sz w:val="24"/>
          <w:szCs w:val="24"/>
        </w:rPr>
      </w:pPr>
      <w:r>
        <w:fldChar w:fldCharType="begin"/>
      </w:r>
      <w:r>
        <w:instrText xml:space="preserve">HYPERLINK \l "_Toc510596662"</w:instrText>
      </w:r>
      <w:r>
        <w:fldChar w:fldCharType="separate"/>
      </w:r>
      <w:r>
        <w:rPr>
          <w:rStyle w:val="25"/>
          <w:rFonts w:eastAsia="楷体_GB2312"/>
          <w:sz w:val="24"/>
          <w:szCs w:val="24"/>
        </w:rPr>
        <w:t>七、同意与弃权</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_Toc510596662 \h </w:instrText>
      </w:r>
      <w:r>
        <w:rPr>
          <w:rFonts w:eastAsia="楷体_GB2312"/>
          <w:sz w:val="24"/>
          <w:szCs w:val="24"/>
        </w:rPr>
        <w:fldChar w:fldCharType="separate"/>
      </w:r>
      <w:r>
        <w:rPr>
          <w:rFonts w:eastAsia="楷体_GB2312"/>
          <w:sz w:val="24"/>
          <w:szCs w:val="24"/>
        </w:rPr>
        <w:t>37</w:t>
      </w:r>
      <w:r>
        <w:rPr>
          <w:rFonts w:eastAsia="楷体_GB2312"/>
          <w:sz w:val="24"/>
          <w:szCs w:val="24"/>
        </w:rPr>
        <w:fldChar w:fldCharType="end"/>
      </w:r>
      <w:r>
        <w:fldChar w:fldCharType="end"/>
      </w:r>
    </w:p>
    <w:p w14:paraId="0305576D">
      <w:pPr>
        <w:pStyle w:val="13"/>
        <w:tabs>
          <w:tab w:val="right" w:leader="dot" w:pos="8296"/>
        </w:tabs>
        <w:jc w:val="both"/>
        <w:rPr>
          <w:rFonts w:eastAsia="楷体_GB2312"/>
          <w:b w:val="0"/>
          <w:bCs w:val="0"/>
          <w:caps w:val="0"/>
          <w:sz w:val="24"/>
          <w:szCs w:val="24"/>
        </w:rPr>
      </w:pPr>
      <w:r>
        <w:fldChar w:fldCharType="begin"/>
      </w:r>
      <w:r>
        <w:instrText xml:space="preserve">HYPERLINK \l "_Toc510596663"</w:instrText>
      </w:r>
      <w:r>
        <w:fldChar w:fldCharType="separate"/>
      </w:r>
      <w:r>
        <w:rPr>
          <w:rStyle w:val="25"/>
          <w:rFonts w:eastAsia="楷体_GB2312"/>
          <w:sz w:val="24"/>
          <w:szCs w:val="24"/>
        </w:rPr>
        <w:t>八、继任机构</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_Toc510596663 \h </w:instrText>
      </w:r>
      <w:r>
        <w:rPr>
          <w:rFonts w:eastAsia="楷体_GB2312"/>
          <w:sz w:val="24"/>
          <w:szCs w:val="24"/>
        </w:rPr>
        <w:fldChar w:fldCharType="separate"/>
      </w:r>
      <w:r>
        <w:rPr>
          <w:rFonts w:eastAsia="楷体_GB2312"/>
          <w:sz w:val="24"/>
          <w:szCs w:val="24"/>
        </w:rPr>
        <w:t>37</w:t>
      </w:r>
      <w:r>
        <w:rPr>
          <w:rFonts w:eastAsia="楷体_GB2312"/>
          <w:sz w:val="24"/>
          <w:szCs w:val="24"/>
        </w:rPr>
        <w:fldChar w:fldCharType="end"/>
      </w:r>
      <w:r>
        <w:fldChar w:fldCharType="end"/>
      </w:r>
    </w:p>
    <w:p w14:paraId="7EF7947C">
      <w:pPr>
        <w:pStyle w:val="13"/>
        <w:tabs>
          <w:tab w:val="right" w:leader="dot" w:pos="8296"/>
        </w:tabs>
        <w:jc w:val="both"/>
        <w:rPr>
          <w:rFonts w:eastAsia="楷体_GB2312"/>
          <w:b w:val="0"/>
          <w:bCs w:val="0"/>
          <w:caps w:val="0"/>
          <w:sz w:val="24"/>
          <w:szCs w:val="24"/>
        </w:rPr>
      </w:pPr>
      <w:r>
        <w:fldChar w:fldCharType="begin"/>
      </w:r>
      <w:r>
        <w:instrText xml:space="preserve">HYPERLINK \l "_Toc510596664"</w:instrText>
      </w:r>
      <w:r>
        <w:fldChar w:fldCharType="separate"/>
      </w:r>
      <w:r>
        <w:rPr>
          <w:rStyle w:val="25"/>
          <w:rFonts w:eastAsia="楷体_GB2312"/>
          <w:sz w:val="24"/>
          <w:szCs w:val="24"/>
        </w:rPr>
        <w:t>九、变动</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_Toc510596664 \h </w:instrText>
      </w:r>
      <w:r>
        <w:rPr>
          <w:rFonts w:eastAsia="楷体_GB2312"/>
          <w:sz w:val="24"/>
          <w:szCs w:val="24"/>
        </w:rPr>
        <w:fldChar w:fldCharType="separate"/>
      </w:r>
      <w:r>
        <w:rPr>
          <w:rFonts w:eastAsia="楷体_GB2312"/>
          <w:sz w:val="24"/>
          <w:szCs w:val="24"/>
        </w:rPr>
        <w:t>38</w:t>
      </w:r>
      <w:r>
        <w:rPr>
          <w:rFonts w:eastAsia="楷体_GB2312"/>
          <w:sz w:val="24"/>
          <w:szCs w:val="24"/>
        </w:rPr>
        <w:fldChar w:fldCharType="end"/>
      </w:r>
      <w:r>
        <w:fldChar w:fldCharType="end"/>
      </w:r>
    </w:p>
    <w:p w14:paraId="7B085979">
      <w:pPr>
        <w:pStyle w:val="13"/>
        <w:tabs>
          <w:tab w:val="right" w:leader="dot" w:pos="8296"/>
        </w:tabs>
        <w:jc w:val="both"/>
        <w:rPr>
          <w:rFonts w:eastAsia="楷体_GB2312"/>
          <w:b w:val="0"/>
          <w:bCs w:val="0"/>
          <w:caps w:val="0"/>
          <w:sz w:val="24"/>
          <w:szCs w:val="24"/>
        </w:rPr>
      </w:pPr>
      <w:r>
        <w:fldChar w:fldCharType="begin"/>
      </w:r>
      <w:r>
        <w:instrText xml:space="preserve">HYPERLINK \l "_Toc510596665"</w:instrText>
      </w:r>
      <w:r>
        <w:fldChar w:fldCharType="separate"/>
      </w:r>
      <w:r>
        <w:rPr>
          <w:rStyle w:val="25"/>
          <w:rFonts w:eastAsia="楷体_GB2312"/>
          <w:sz w:val="24"/>
          <w:szCs w:val="24"/>
        </w:rPr>
        <w:t>十、生效</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_Toc510596665 \h </w:instrText>
      </w:r>
      <w:r>
        <w:rPr>
          <w:rFonts w:eastAsia="楷体_GB2312"/>
          <w:sz w:val="24"/>
          <w:szCs w:val="24"/>
        </w:rPr>
        <w:fldChar w:fldCharType="separate"/>
      </w:r>
      <w:r>
        <w:rPr>
          <w:rFonts w:eastAsia="楷体_GB2312"/>
          <w:sz w:val="24"/>
          <w:szCs w:val="24"/>
        </w:rPr>
        <w:t>38</w:t>
      </w:r>
      <w:r>
        <w:rPr>
          <w:rFonts w:eastAsia="楷体_GB2312"/>
          <w:sz w:val="24"/>
          <w:szCs w:val="24"/>
        </w:rPr>
        <w:fldChar w:fldCharType="end"/>
      </w:r>
      <w:r>
        <w:fldChar w:fldCharType="end"/>
      </w:r>
    </w:p>
    <w:p w14:paraId="0A5D749E">
      <w:pPr>
        <w:pStyle w:val="13"/>
        <w:tabs>
          <w:tab w:val="right" w:leader="dot" w:pos="8296"/>
        </w:tabs>
        <w:jc w:val="both"/>
        <w:rPr>
          <w:rFonts w:eastAsia="楷体_GB2312"/>
          <w:b w:val="0"/>
          <w:bCs w:val="0"/>
          <w:caps w:val="0"/>
          <w:sz w:val="24"/>
          <w:szCs w:val="24"/>
        </w:rPr>
      </w:pPr>
      <w:r>
        <w:fldChar w:fldCharType="begin"/>
      </w:r>
      <w:r>
        <w:instrText xml:space="preserve">HYPERLINK \l "_Toc510596666"</w:instrText>
      </w:r>
      <w:r>
        <w:fldChar w:fldCharType="separate"/>
      </w:r>
      <w:r>
        <w:rPr>
          <w:rStyle w:val="25"/>
          <w:rFonts w:eastAsia="楷体_GB2312"/>
          <w:sz w:val="24"/>
          <w:szCs w:val="24"/>
        </w:rPr>
        <w:t>十一、文本</w:t>
      </w:r>
      <w:r>
        <w:rPr>
          <w:rFonts w:eastAsia="楷体_GB2312"/>
          <w:sz w:val="24"/>
          <w:szCs w:val="24"/>
        </w:rPr>
        <w:tab/>
      </w:r>
      <w:r>
        <w:rPr>
          <w:rFonts w:eastAsia="楷体_GB2312"/>
          <w:sz w:val="24"/>
          <w:szCs w:val="24"/>
        </w:rPr>
        <w:fldChar w:fldCharType="begin"/>
      </w:r>
      <w:r>
        <w:rPr>
          <w:rFonts w:eastAsia="楷体_GB2312"/>
          <w:sz w:val="24"/>
          <w:szCs w:val="24"/>
        </w:rPr>
        <w:instrText xml:space="preserve"> PAGEREF _Toc510596666 \h </w:instrText>
      </w:r>
      <w:r>
        <w:rPr>
          <w:rFonts w:eastAsia="楷体_GB2312"/>
          <w:sz w:val="24"/>
          <w:szCs w:val="24"/>
        </w:rPr>
        <w:fldChar w:fldCharType="separate"/>
      </w:r>
      <w:r>
        <w:rPr>
          <w:rFonts w:eastAsia="楷体_GB2312"/>
          <w:sz w:val="24"/>
          <w:szCs w:val="24"/>
        </w:rPr>
        <w:t>38</w:t>
      </w:r>
      <w:r>
        <w:rPr>
          <w:rFonts w:eastAsia="楷体_GB2312"/>
          <w:sz w:val="24"/>
          <w:szCs w:val="24"/>
        </w:rPr>
        <w:fldChar w:fldCharType="end"/>
      </w:r>
      <w:r>
        <w:fldChar w:fldCharType="end"/>
      </w:r>
    </w:p>
    <w:p w14:paraId="3E4F760A">
      <w:pPr>
        <w:spacing w:before="156" w:beforeLines="50" w:after="156" w:afterLines="50" w:line="360" w:lineRule="auto"/>
        <w:rPr>
          <w:rFonts w:eastAsia="楷体_GB2312"/>
          <w:b/>
          <w:sz w:val="24"/>
        </w:rPr>
      </w:pPr>
      <w:r>
        <w:rPr>
          <w:rFonts w:eastAsia="楷体_GB2312"/>
          <w:b/>
          <w:sz w:val="24"/>
        </w:rPr>
        <w:fldChar w:fldCharType="end"/>
      </w:r>
    </w:p>
    <w:p w14:paraId="097030A8">
      <w:pPr>
        <w:pStyle w:val="5"/>
        <w:tabs>
          <w:tab w:val="left" w:pos="2760"/>
        </w:tabs>
        <w:spacing w:after="0" w:line="380" w:lineRule="atLeast"/>
        <w:rPr>
          <w:rFonts w:eastAsia="楷体_GB2312"/>
          <w:b/>
          <w:sz w:val="24"/>
        </w:rPr>
        <w:sectPr>
          <w:pgSz w:w="11906" w:h="16838"/>
          <w:pgMar w:top="1440" w:right="1800" w:bottom="1440" w:left="1800" w:header="851" w:footer="992" w:gutter="0"/>
          <w:pgNumType w:start="1"/>
          <w:cols w:space="425" w:num="1"/>
          <w:docGrid w:type="lines" w:linePitch="312" w:charSpace="0"/>
        </w:sectPr>
      </w:pPr>
    </w:p>
    <w:p w14:paraId="30075A66">
      <w:pPr>
        <w:pStyle w:val="5"/>
        <w:spacing w:after="0" w:line="380" w:lineRule="atLeast"/>
        <w:ind w:left="-1" w:leftChars="-1" w:right="26" w:hanging="1"/>
        <w:jc w:val="center"/>
        <w:rPr>
          <w:rFonts w:eastAsia="楷体_GB2312"/>
          <w:b/>
          <w:bCs/>
          <w:sz w:val="30"/>
          <w:szCs w:val="30"/>
        </w:rPr>
      </w:pPr>
      <w:r>
        <w:rPr>
          <w:rFonts w:eastAsia="楷体_GB2312"/>
          <w:b/>
          <w:bCs/>
          <w:color w:val="000000"/>
          <w:sz w:val="30"/>
          <w:szCs w:val="30"/>
        </w:rPr>
        <w:t>【信托名称】</w:t>
      </w:r>
    </w:p>
    <w:p w14:paraId="2523CBD4">
      <w:pPr>
        <w:pStyle w:val="39"/>
        <w:spacing w:after="0" w:line="380" w:lineRule="atLeast"/>
        <w:jc w:val="center"/>
        <w:rPr>
          <w:rFonts w:eastAsia="楷体_GB2312"/>
          <w:sz w:val="30"/>
          <w:szCs w:val="30"/>
          <w:lang w:eastAsia="zh-CN"/>
        </w:rPr>
      </w:pPr>
      <w:r>
        <w:rPr>
          <w:rFonts w:eastAsia="楷体_GB2312"/>
          <w:sz w:val="30"/>
          <w:szCs w:val="30"/>
          <w:lang w:eastAsia="zh-CN"/>
        </w:rPr>
        <w:t>主定义表</w:t>
      </w:r>
    </w:p>
    <w:p w14:paraId="694F5682">
      <w:pPr>
        <w:pStyle w:val="5"/>
        <w:tabs>
          <w:tab w:val="left" w:pos="2760"/>
        </w:tabs>
        <w:spacing w:before="156" w:beforeLines="50" w:after="156" w:afterLines="50" w:line="360" w:lineRule="auto"/>
        <w:rPr>
          <w:rFonts w:eastAsia="楷体_GB2312"/>
          <w:b/>
          <w:sz w:val="24"/>
        </w:rPr>
      </w:pPr>
      <w:r>
        <w:rPr>
          <w:rFonts w:eastAsia="楷体_GB2312"/>
          <w:b/>
          <w:sz w:val="24"/>
        </w:rPr>
        <w:t>《【信托名称】</w:t>
      </w:r>
      <w:r>
        <w:rPr>
          <w:rFonts w:eastAsia="楷体_GB2312"/>
          <w:b/>
          <w:bCs/>
          <w:sz w:val="24"/>
        </w:rPr>
        <w:t>主</w:t>
      </w:r>
      <w:r>
        <w:rPr>
          <w:rFonts w:eastAsia="楷体_GB2312"/>
          <w:b/>
          <w:sz w:val="24"/>
        </w:rPr>
        <w:t>定义表》（“本《主定义表》”）由以下</w:t>
      </w:r>
      <w:r>
        <w:rPr>
          <w:rFonts w:hint="eastAsia" w:eastAsia="楷体_GB2312"/>
          <w:b/>
          <w:sz w:val="24"/>
        </w:rPr>
        <w:t>双</w:t>
      </w:r>
      <w:r>
        <w:rPr>
          <w:rFonts w:eastAsia="楷体_GB2312"/>
          <w:b/>
          <w:sz w:val="24"/>
        </w:rPr>
        <w:t>方</w:t>
      </w:r>
      <w:r>
        <w:rPr>
          <w:rFonts w:eastAsia="楷体_GB2312"/>
          <w:b/>
          <w:color w:val="000000" w:themeColor="text1"/>
          <w:sz w:val="24"/>
          <w14:textFill>
            <w14:solidFill>
              <w14:schemeClr w14:val="tx1"/>
            </w14:solidFill>
          </w14:textFill>
        </w:rPr>
        <w:t>于</w:t>
      </w:r>
      <w:r>
        <w:rPr>
          <w:rFonts w:eastAsia="楷体_GB2312"/>
          <w:b/>
          <w:sz w:val="24"/>
        </w:rPr>
        <w:t>【】年【】月【】日于中国【】市【】区签署：</w:t>
      </w:r>
    </w:p>
    <w:p w14:paraId="23B6B8E8">
      <w:pPr>
        <w:pStyle w:val="40"/>
        <w:tabs>
          <w:tab w:val="left" w:pos="720"/>
          <w:tab w:val="clear" w:pos="425"/>
        </w:tabs>
        <w:spacing w:before="156" w:beforeLines="50" w:after="156" w:afterLines="50" w:line="360" w:lineRule="auto"/>
        <w:ind w:left="0" w:firstLine="0"/>
        <w:rPr>
          <w:rFonts w:eastAsia="楷体_GB2312"/>
          <w:lang w:eastAsia="zh-CN"/>
        </w:rPr>
      </w:pPr>
      <w:bookmarkStart w:id="2" w:name="_DV_M113"/>
      <w:bookmarkEnd w:id="2"/>
      <w:r>
        <w:rPr>
          <w:rFonts w:eastAsia="楷体_GB2312"/>
          <w:b/>
          <w:lang w:val="en-US" w:eastAsia="zh-CN"/>
        </w:rPr>
        <w:t>【发起机构全称】</w:t>
      </w:r>
      <w:r>
        <w:rPr>
          <w:rFonts w:eastAsia="楷体_GB2312"/>
          <w:lang w:eastAsia="zh-CN"/>
        </w:rPr>
        <w:t>，作为【信托名称】的“委托人”</w:t>
      </w:r>
      <w:r>
        <w:rPr>
          <w:rFonts w:hint="eastAsia" w:eastAsia="楷体_GB2312"/>
          <w:lang w:eastAsia="zh-CN"/>
        </w:rPr>
        <w:t>和</w:t>
      </w:r>
      <w:r>
        <w:rPr>
          <w:rFonts w:eastAsia="楷体_GB2312"/>
          <w:lang w:eastAsia="zh-CN"/>
        </w:rPr>
        <w:t>“发起机构”，是依据“中国法律”设立的【】，法定代表人为</w:t>
      </w:r>
      <w:r>
        <w:rPr>
          <w:rFonts w:eastAsia="楷体_GB2312"/>
          <w:bCs w:val="0"/>
          <w:lang w:val="en-US" w:eastAsia="zh-CN"/>
        </w:rPr>
        <w:t>【】</w:t>
      </w:r>
      <w:r>
        <w:rPr>
          <w:rFonts w:eastAsia="楷体_GB2312"/>
          <w:bCs w:val="0"/>
          <w:lang w:eastAsia="zh-CN"/>
        </w:rPr>
        <w:t>，</w:t>
      </w:r>
      <w:r>
        <w:rPr>
          <w:rFonts w:eastAsia="楷体_GB2312"/>
          <w:color w:val="000000" w:themeColor="text1"/>
          <w:lang w:eastAsia="zh-CN"/>
          <w14:textFill>
            <w14:solidFill>
              <w14:schemeClr w14:val="tx1"/>
            </w14:solidFill>
          </w14:textFill>
        </w:rPr>
        <w:t>注册地址</w:t>
      </w:r>
      <w:r>
        <w:rPr>
          <w:rFonts w:eastAsia="楷体_GB2312"/>
          <w:lang w:eastAsia="zh-CN"/>
        </w:rPr>
        <w:t>为</w:t>
      </w:r>
      <w:r>
        <w:rPr>
          <w:rFonts w:eastAsia="楷体_GB2312"/>
          <w:bCs w:val="0"/>
          <w:lang w:eastAsia="zh-CN"/>
        </w:rPr>
        <w:t>【】</w:t>
      </w:r>
      <w:r>
        <w:rPr>
          <w:rFonts w:eastAsia="楷体_GB2312"/>
          <w:lang w:eastAsia="zh-CN"/>
        </w:rPr>
        <w:t>；</w:t>
      </w:r>
    </w:p>
    <w:p w14:paraId="33E0638A">
      <w:pPr>
        <w:pStyle w:val="40"/>
        <w:tabs>
          <w:tab w:val="left" w:pos="720"/>
          <w:tab w:val="clear" w:pos="425"/>
        </w:tabs>
        <w:spacing w:before="156" w:beforeLines="50" w:after="156" w:afterLines="50" w:line="360" w:lineRule="auto"/>
        <w:ind w:left="0" w:firstLine="0"/>
        <w:rPr>
          <w:rFonts w:eastAsia="楷体_GB2312"/>
          <w:lang w:eastAsia="zh-CN"/>
        </w:rPr>
      </w:pPr>
      <w:r>
        <w:rPr>
          <w:rFonts w:eastAsia="楷体_GB2312"/>
          <w:b/>
          <w:bCs w:val="0"/>
          <w:lang w:eastAsia="zh-CN"/>
        </w:rPr>
        <w:t>【受托机构全称】</w:t>
      </w:r>
      <w:r>
        <w:rPr>
          <w:rFonts w:eastAsia="楷体_GB2312"/>
          <w:lang w:eastAsia="zh-CN"/>
        </w:rPr>
        <w:t>，作为【信托名称】的“受托人”、“受托机构”和“发行人”，是依据“中国法律”设立的【】，法定代表人为</w:t>
      </w:r>
      <w:r>
        <w:rPr>
          <w:rFonts w:eastAsia="楷体_GB2312"/>
          <w:lang w:val="en-US" w:eastAsia="zh-CN"/>
        </w:rPr>
        <w:t>【】</w:t>
      </w:r>
      <w:r>
        <w:rPr>
          <w:rFonts w:eastAsia="楷体_GB2312"/>
          <w:lang w:eastAsia="zh-CN"/>
        </w:rPr>
        <w:t>，</w:t>
      </w:r>
      <w:r>
        <w:rPr>
          <w:rFonts w:eastAsia="楷体_GB2312"/>
          <w:color w:val="000000" w:themeColor="text1"/>
          <w:lang w:eastAsia="zh-CN"/>
          <w14:textFill>
            <w14:solidFill>
              <w14:schemeClr w14:val="tx1"/>
            </w14:solidFill>
          </w14:textFill>
        </w:rPr>
        <w:t>注册地址</w:t>
      </w:r>
      <w:r>
        <w:rPr>
          <w:rFonts w:eastAsia="楷体_GB2312"/>
          <w:lang w:val="en-US" w:eastAsia="zh-CN"/>
        </w:rPr>
        <w:t>为【】</w:t>
      </w:r>
      <w:r>
        <w:rPr>
          <w:rFonts w:eastAsia="楷体_GB2312"/>
          <w:lang w:eastAsia="zh-CN"/>
        </w:rPr>
        <w:t>。</w:t>
      </w:r>
    </w:p>
    <w:p w14:paraId="42577502">
      <w:pPr>
        <w:pStyle w:val="28"/>
        <w:numPr>
          <w:ilvl w:val="0"/>
          <w:numId w:val="2"/>
        </w:numPr>
        <w:spacing w:before="156" w:beforeLines="50" w:after="156" w:afterLines="50"/>
        <w:outlineLvl w:val="0"/>
        <w:rPr>
          <w:rFonts w:eastAsia="楷体_GB2312"/>
          <w:b/>
        </w:rPr>
      </w:pPr>
      <w:bookmarkStart w:id="3" w:name="_Toc173860429"/>
      <w:bookmarkStart w:id="4" w:name="_Toc510596656"/>
      <w:bookmarkStart w:id="5" w:name="_Toc149842420"/>
      <w:r>
        <w:rPr>
          <w:rFonts w:eastAsia="楷体_GB2312"/>
          <w:b/>
        </w:rPr>
        <w:t>定义</w:t>
      </w:r>
      <w:bookmarkEnd w:id="3"/>
      <w:bookmarkEnd w:id="4"/>
      <w:bookmarkEnd w:id="5"/>
    </w:p>
    <w:p w14:paraId="30309955">
      <w:pPr>
        <w:pStyle w:val="6"/>
        <w:numPr>
          <w:ilvl w:val="0"/>
          <w:numId w:val="3"/>
        </w:numPr>
        <w:spacing w:before="156" w:beforeLines="50" w:after="156" w:afterLines="50" w:line="360" w:lineRule="auto"/>
        <w:ind w:leftChars="0"/>
        <w:outlineLvl w:val="1"/>
        <w:rPr>
          <w:rFonts w:eastAsia="楷体_GB2312"/>
          <w:b/>
          <w:sz w:val="24"/>
        </w:rPr>
      </w:pPr>
      <w:bookmarkStart w:id="6" w:name="_Toc173860430"/>
      <w:r>
        <w:rPr>
          <w:rFonts w:eastAsia="楷体_GB2312"/>
          <w:b/>
          <w:sz w:val="24"/>
        </w:rPr>
        <w:t>项目涉及的机构主体的定义</w:t>
      </w:r>
      <w:bookmarkEnd w:id="6"/>
    </w:p>
    <w:p w14:paraId="53770FEB">
      <w:pPr>
        <w:pStyle w:val="6"/>
        <w:numPr>
          <w:ilvl w:val="0"/>
          <w:numId w:val="4"/>
        </w:numPr>
        <w:spacing w:before="156" w:beforeLines="50" w:after="156" w:afterLines="50" w:line="360" w:lineRule="auto"/>
        <w:ind w:leftChars="0"/>
        <w:outlineLvl w:val="2"/>
        <w:rPr>
          <w:rFonts w:eastAsia="楷体_GB2312"/>
          <w:b/>
          <w:sz w:val="24"/>
        </w:rPr>
      </w:pPr>
      <w:bookmarkStart w:id="7" w:name="_Toc173860431"/>
      <w:r>
        <w:rPr>
          <w:rFonts w:eastAsia="楷体_GB2312"/>
          <w:b/>
          <w:sz w:val="24"/>
        </w:rPr>
        <w:t>信托当事人的定义</w:t>
      </w:r>
      <w:bookmarkEnd w:id="7"/>
    </w:p>
    <w:p w14:paraId="19AA9380">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委托人/发起机构/【发起机构简称】：</w:t>
      </w:r>
      <w:r>
        <w:rPr>
          <w:rFonts w:eastAsia="楷体_GB2312"/>
          <w:bCs/>
          <w:sz w:val="24"/>
        </w:rPr>
        <w:t>系指【发起机构全称】。</w:t>
      </w:r>
    </w:p>
    <w:p w14:paraId="3FE942E8">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受托人/受托机构：</w:t>
      </w:r>
      <w:r>
        <w:rPr>
          <w:rFonts w:eastAsia="楷体_GB2312"/>
          <w:bCs/>
          <w:sz w:val="24"/>
        </w:rPr>
        <w:t>系指</w:t>
      </w:r>
      <w:r>
        <w:rPr>
          <w:rFonts w:eastAsia="楷体_GB2312"/>
          <w:sz w:val="24"/>
        </w:rPr>
        <w:t>【受托机构全称】，</w:t>
      </w:r>
      <w:r>
        <w:rPr>
          <w:rFonts w:eastAsia="楷体_GB2312"/>
          <w:kern w:val="0"/>
          <w:sz w:val="24"/>
        </w:rPr>
        <w:t>以及任何允许的继任机构</w:t>
      </w:r>
      <w:r>
        <w:rPr>
          <w:rFonts w:eastAsia="楷体_GB2312"/>
          <w:bCs/>
          <w:sz w:val="24"/>
        </w:rPr>
        <w:t>。</w:t>
      </w:r>
    </w:p>
    <w:p w14:paraId="72B89AF7">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受益人：</w:t>
      </w:r>
      <w:r>
        <w:rPr>
          <w:rFonts w:eastAsia="楷体_GB2312"/>
          <w:bCs/>
          <w:sz w:val="24"/>
        </w:rPr>
        <w:t>系指</w:t>
      </w:r>
      <w:r>
        <w:rPr>
          <w:rFonts w:eastAsia="楷体_GB2312"/>
          <w:sz w:val="24"/>
        </w:rPr>
        <w:t>“</w:t>
      </w:r>
      <w:r>
        <w:rPr>
          <w:rFonts w:eastAsia="楷体_GB2312"/>
          <w:bCs/>
          <w:sz w:val="24"/>
        </w:rPr>
        <w:t>资产支持证券持有人</w:t>
      </w:r>
      <w:r>
        <w:rPr>
          <w:rFonts w:eastAsia="楷体_GB2312"/>
          <w:sz w:val="24"/>
        </w:rPr>
        <w:t>”</w:t>
      </w:r>
      <w:r>
        <w:rPr>
          <w:rFonts w:eastAsia="楷体_GB2312"/>
          <w:bCs/>
          <w:sz w:val="24"/>
        </w:rPr>
        <w:t>。</w:t>
      </w:r>
    </w:p>
    <w:p w14:paraId="2F1DEA05">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资产支持证券持有人：</w:t>
      </w:r>
      <w:r>
        <w:rPr>
          <w:rFonts w:eastAsia="楷体_GB2312"/>
          <w:sz w:val="24"/>
        </w:rPr>
        <w:t>系指任何持有“资产支持证券”的投资机构。</w:t>
      </w:r>
    </w:p>
    <w:p w14:paraId="29A79810">
      <w:pPr>
        <w:numPr>
          <w:ilvl w:val="1"/>
          <w:numId w:val="5"/>
        </w:numPr>
        <w:tabs>
          <w:tab w:val="left" w:pos="851"/>
          <w:tab w:val="clear" w:pos="720"/>
        </w:tabs>
        <w:spacing w:before="156" w:beforeLines="50" w:after="156" w:afterLines="50" w:line="360" w:lineRule="auto"/>
        <w:ind w:left="851" w:hanging="851"/>
        <w:rPr>
          <w:rFonts w:eastAsia="楷体_GB2312"/>
          <w:b/>
          <w:sz w:val="24"/>
        </w:rPr>
      </w:pPr>
      <w:bookmarkStart w:id="8" w:name="_Hlk55554412"/>
      <w:r>
        <w:rPr>
          <w:rFonts w:eastAsia="楷体_GB2312"/>
          <w:b/>
          <w:sz w:val="24"/>
        </w:rPr>
        <w:t>优先级资产支持证券持有人</w:t>
      </w:r>
      <w:r>
        <w:rPr>
          <w:rFonts w:eastAsia="楷体_GB2312"/>
          <w:sz w:val="24"/>
        </w:rPr>
        <w:t>：</w:t>
      </w:r>
      <w:bookmarkStart w:id="9" w:name="_Hlk55554441"/>
      <w:r>
        <w:rPr>
          <w:rFonts w:eastAsia="楷体_GB2312"/>
          <w:sz w:val="24"/>
        </w:rPr>
        <w:t>系指“</w:t>
      </w:r>
      <w:r>
        <w:rPr>
          <w:rFonts w:eastAsia="楷体_GB2312"/>
          <w:bCs/>
          <w:sz w:val="24"/>
        </w:rPr>
        <w:t>优先级</w:t>
      </w:r>
      <w:r>
        <w:rPr>
          <w:rFonts w:eastAsia="楷体_GB2312"/>
          <w:sz w:val="24"/>
        </w:rPr>
        <w:t>资产支持证券”的持有人，包括</w:t>
      </w:r>
      <w:bookmarkStart w:id="10" w:name="_Hlk55554420"/>
      <w:r>
        <w:rPr>
          <w:rFonts w:eastAsia="楷体_GB2312"/>
          <w:sz w:val="24"/>
        </w:rPr>
        <w:t>【</w:t>
      </w:r>
      <w:r>
        <w:rPr>
          <w:rFonts w:eastAsia="楷体_GB2312"/>
          <w:kern w:val="0"/>
          <w:sz w:val="24"/>
        </w:rPr>
        <w:t>“优先A档资产支持证券持有人”和“优先B档资产支持证券持有人”】</w:t>
      </w:r>
      <w:r>
        <w:rPr>
          <w:rFonts w:eastAsia="楷体_GB2312"/>
          <w:bCs/>
          <w:sz w:val="24"/>
        </w:rPr>
        <w:t>。</w:t>
      </w:r>
      <w:bookmarkEnd w:id="9"/>
      <w:bookmarkEnd w:id="10"/>
    </w:p>
    <w:p w14:paraId="1D8153EA">
      <w:pPr>
        <w:tabs>
          <w:tab w:val="left" w:pos="425"/>
          <w:tab w:val="left" w:pos="720"/>
          <w:tab w:val="left" w:pos="851"/>
        </w:tabs>
        <w:spacing w:before="156" w:beforeLines="50" w:after="156" w:afterLines="50" w:line="360" w:lineRule="auto"/>
        <w:ind w:left="851"/>
        <w:rPr>
          <w:rFonts w:eastAsia="楷体_GB2312"/>
          <w:b/>
          <w:i/>
          <w:color w:val="FF0000"/>
          <w:sz w:val="24"/>
        </w:rPr>
      </w:pPr>
      <w:r>
        <w:rPr>
          <w:rFonts w:eastAsia="楷体_GB2312"/>
          <w:b/>
          <w:i/>
          <w:color w:val="FF0000"/>
          <w:sz w:val="24"/>
        </w:rPr>
        <w:t>【注：关于资产支持证券的命名方式，可根据项目实际情况进行调整。】</w:t>
      </w:r>
    </w:p>
    <w:bookmarkEnd w:id="8"/>
    <w:p w14:paraId="057CF108">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bCs/>
          <w:kern w:val="0"/>
          <w:sz w:val="24"/>
        </w:rPr>
        <w:t>优先A档资产支持证券持有人：</w:t>
      </w:r>
      <w:r>
        <w:rPr>
          <w:rFonts w:eastAsia="楷体_GB2312"/>
          <w:kern w:val="0"/>
          <w:sz w:val="24"/>
        </w:rPr>
        <w:t>系指“优先A档资产支持证券”的持有人。</w:t>
      </w:r>
    </w:p>
    <w:p w14:paraId="25377C27">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bCs/>
          <w:kern w:val="0"/>
          <w:sz w:val="24"/>
        </w:rPr>
        <w:t>优先B档资产支持证券持有人：</w:t>
      </w:r>
      <w:r>
        <w:rPr>
          <w:rFonts w:eastAsia="楷体_GB2312"/>
          <w:kern w:val="0"/>
          <w:sz w:val="24"/>
        </w:rPr>
        <w:t>系指“优先B档资产支持证券”的持有人。</w:t>
      </w:r>
    </w:p>
    <w:p w14:paraId="5CA29924">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次级资产支持证券持有人：</w:t>
      </w:r>
      <w:r>
        <w:rPr>
          <w:rFonts w:eastAsia="楷体_GB2312"/>
          <w:sz w:val="24"/>
        </w:rPr>
        <w:t>系指“次级</w:t>
      </w:r>
      <w:r>
        <w:rPr>
          <w:rFonts w:eastAsia="楷体_GB2312"/>
          <w:bCs/>
          <w:sz w:val="24"/>
        </w:rPr>
        <w:t>资产</w:t>
      </w:r>
      <w:r>
        <w:rPr>
          <w:rFonts w:eastAsia="楷体_GB2312"/>
          <w:sz w:val="24"/>
        </w:rPr>
        <w:t>支持证券”的持有人。</w:t>
      </w:r>
    </w:p>
    <w:p w14:paraId="64D9E406">
      <w:pPr>
        <w:tabs>
          <w:tab w:val="left" w:pos="425"/>
          <w:tab w:val="left" w:pos="851"/>
        </w:tabs>
        <w:spacing w:before="156" w:beforeLines="50" w:after="156" w:afterLines="50" w:line="360" w:lineRule="auto"/>
        <w:ind w:left="851"/>
        <w:rPr>
          <w:rFonts w:eastAsia="楷体_GB2312"/>
          <w:b/>
          <w:sz w:val="24"/>
        </w:rPr>
      </w:pPr>
      <w:r>
        <w:rPr>
          <w:rFonts w:eastAsia="楷体_GB2312"/>
          <w:b/>
          <w:bCs/>
          <w:i/>
          <w:iCs/>
          <w:color w:val="FF0000"/>
          <w:sz w:val="24"/>
        </w:rPr>
        <w:t>【注：资产支持证券持有人的定义可根据项目资产支持证券分层结果细分调整。】</w:t>
      </w:r>
    </w:p>
    <w:p w14:paraId="160DB43E">
      <w:pPr>
        <w:pStyle w:val="6"/>
        <w:numPr>
          <w:ilvl w:val="0"/>
          <w:numId w:val="4"/>
        </w:numPr>
        <w:spacing w:before="156" w:beforeLines="50" w:after="156" w:afterLines="50" w:line="360" w:lineRule="auto"/>
        <w:ind w:leftChars="0"/>
        <w:outlineLvl w:val="2"/>
        <w:rPr>
          <w:rFonts w:eastAsia="楷体_GB2312"/>
          <w:b/>
          <w:sz w:val="24"/>
        </w:rPr>
      </w:pPr>
      <w:bookmarkStart w:id="11" w:name="_Toc173860432"/>
      <w:r>
        <w:rPr>
          <w:rFonts w:eastAsia="楷体_GB2312"/>
          <w:b/>
          <w:sz w:val="24"/>
        </w:rPr>
        <w:t>参与机构的定义</w:t>
      </w:r>
      <w:bookmarkEnd w:id="11"/>
    </w:p>
    <w:p w14:paraId="26C85DE1">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发行人</w:t>
      </w:r>
      <w:r>
        <w:rPr>
          <w:rFonts w:eastAsia="楷体_GB2312"/>
          <w:bCs/>
          <w:sz w:val="24"/>
        </w:rPr>
        <w:t>：系指</w:t>
      </w:r>
      <w:r>
        <w:rPr>
          <w:rFonts w:eastAsia="楷体_GB2312"/>
          <w:sz w:val="24"/>
        </w:rPr>
        <w:t>【受托机构全称】</w:t>
      </w:r>
      <w:r>
        <w:rPr>
          <w:rFonts w:eastAsia="楷体_GB2312"/>
          <w:bCs/>
          <w:sz w:val="24"/>
        </w:rPr>
        <w:t>。</w:t>
      </w:r>
    </w:p>
    <w:p w14:paraId="6FC652C8">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主承销商：</w:t>
      </w:r>
      <w:r>
        <w:rPr>
          <w:rFonts w:eastAsia="楷体_GB2312"/>
          <w:bCs/>
          <w:sz w:val="24"/>
        </w:rPr>
        <w:t>系指“牵头主承销商”和“联席主承销商”的统称。</w:t>
      </w:r>
    </w:p>
    <w:p w14:paraId="2662BEE4">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牵头主承销商/簿记管理人</w:t>
      </w:r>
      <w:r>
        <w:rPr>
          <w:rFonts w:eastAsia="楷体_GB2312"/>
          <w:b/>
          <w:bCs/>
          <w:color w:val="000000" w:themeColor="text1"/>
          <w:sz w:val="24"/>
          <w14:textFill>
            <w14:solidFill>
              <w14:schemeClr w14:val="tx1"/>
            </w14:solidFill>
          </w14:textFill>
        </w:rPr>
        <w:t>/</w:t>
      </w:r>
      <w:r>
        <w:rPr>
          <w:rFonts w:eastAsia="楷体_GB2312"/>
          <w:b/>
          <w:bCs/>
          <w:sz w:val="24"/>
        </w:rPr>
        <w:t>【牵头主承销商简称】：</w:t>
      </w:r>
      <w:r>
        <w:rPr>
          <w:rFonts w:eastAsia="楷体_GB2312"/>
          <w:bCs/>
          <w:sz w:val="24"/>
        </w:rPr>
        <w:t>系指【牵头主承销商全称】。</w:t>
      </w:r>
    </w:p>
    <w:p w14:paraId="3541EA99">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联席主承销商：</w:t>
      </w:r>
      <w:r>
        <w:rPr>
          <w:rFonts w:eastAsia="楷体_GB2312"/>
          <w:bCs/>
          <w:sz w:val="24"/>
        </w:rPr>
        <w:t>系指【联席主承销商全称】。</w:t>
      </w:r>
    </w:p>
    <w:p w14:paraId="3CD1CB25">
      <w:pPr>
        <w:tabs>
          <w:tab w:val="left" w:pos="425"/>
          <w:tab w:val="left" w:pos="851"/>
        </w:tabs>
        <w:spacing w:before="156" w:beforeLines="50" w:after="156" w:afterLines="50" w:line="360" w:lineRule="auto"/>
        <w:ind w:left="851"/>
        <w:rPr>
          <w:rFonts w:eastAsia="楷体_GB2312"/>
          <w:bCs/>
          <w:sz w:val="24"/>
        </w:rPr>
      </w:pPr>
      <w:r>
        <w:rPr>
          <w:rFonts w:eastAsia="楷体_GB2312"/>
          <w:b/>
          <w:bCs/>
          <w:i/>
          <w:iCs/>
          <w:color w:val="FF0000"/>
          <w:sz w:val="24"/>
        </w:rPr>
        <w:t>【注：关于主承销商、牵头主承销商、簿记管理人、联席主承销商的定义，可根据项目实际情况调整。】</w:t>
      </w:r>
    </w:p>
    <w:p w14:paraId="576B22EE">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bCs/>
          <w:sz w:val="24"/>
        </w:rPr>
        <w:t>承销商/承销团成员：</w:t>
      </w:r>
      <w:r>
        <w:rPr>
          <w:rFonts w:eastAsia="楷体_GB2312"/>
          <w:sz w:val="24"/>
        </w:rPr>
        <w:t>系指根据“《承销团协议》”负责承销“资产支持证券”的一家、多家或所有承销机构。</w:t>
      </w:r>
    </w:p>
    <w:p w14:paraId="4427F228">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bCs/>
          <w:sz w:val="24"/>
        </w:rPr>
        <w:t>承销团：</w:t>
      </w:r>
      <w:r>
        <w:rPr>
          <w:rFonts w:eastAsia="楷体_GB2312"/>
          <w:sz w:val="24"/>
        </w:rPr>
        <w:t>系指“主承销商”根据“《承销团协议》”组建的包括“主承销商”在内的进行“资产支持证券”承销的“承销商”组织。</w:t>
      </w:r>
    </w:p>
    <w:p w14:paraId="4B81BF5F">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贷款服务机构：</w:t>
      </w:r>
      <w:r>
        <w:rPr>
          <w:rFonts w:eastAsia="楷体_GB2312"/>
          <w:bCs/>
          <w:sz w:val="24"/>
        </w:rPr>
        <w:t>系</w:t>
      </w:r>
      <w:r>
        <w:rPr>
          <w:rFonts w:eastAsia="楷体_GB2312"/>
          <w:sz w:val="24"/>
        </w:rPr>
        <w:t>指作为“《服务合同》”项下的贷款服务机构的“【贷款服务机构全称】”，或“</w:t>
      </w:r>
      <w:r>
        <w:rPr>
          <w:rFonts w:eastAsia="楷体_GB2312"/>
          <w:bCs/>
          <w:sz w:val="24"/>
        </w:rPr>
        <w:t>《服务合同》</w:t>
      </w:r>
      <w:r>
        <w:rPr>
          <w:rFonts w:eastAsia="楷体_GB2312"/>
          <w:sz w:val="24"/>
        </w:rPr>
        <w:t>”允许的继任机构</w:t>
      </w:r>
      <w:r>
        <w:rPr>
          <w:rFonts w:eastAsia="楷体_GB2312"/>
          <w:bCs/>
          <w:sz w:val="24"/>
        </w:rPr>
        <w:t>。</w:t>
      </w:r>
    </w:p>
    <w:p w14:paraId="4B978D5B">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贷款服务机构经办分行：</w:t>
      </w:r>
      <w:r>
        <w:rPr>
          <w:rFonts w:eastAsia="楷体_GB2312"/>
          <w:bCs/>
          <w:sz w:val="24"/>
        </w:rPr>
        <w:t>系指在“【贷款服务机构全称】”担任“贷款服务机构”的情况下，“【贷款服务机构全称】”发放“信贷资产”项下各笔“贷款”的相关分行。</w:t>
      </w:r>
    </w:p>
    <w:p w14:paraId="1016C0D7">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后备贷款服务机构：</w:t>
      </w:r>
      <w:r>
        <w:rPr>
          <w:rFonts w:eastAsia="楷体_GB2312"/>
          <w:kern w:val="0"/>
          <w:sz w:val="24"/>
        </w:rPr>
        <w:t>系指根据</w:t>
      </w:r>
      <w:r>
        <w:rPr>
          <w:rFonts w:eastAsia="楷体_GB2312"/>
          <w:sz w:val="24"/>
        </w:rPr>
        <w:t>“《服务合同》</w:t>
      </w:r>
      <w:r>
        <w:rPr>
          <w:rFonts w:eastAsia="楷体_GB2312"/>
          <w:kern w:val="0"/>
          <w:sz w:val="24"/>
        </w:rPr>
        <w:t>”的</w:t>
      </w:r>
      <w:r>
        <w:rPr>
          <w:rFonts w:eastAsia="楷体_GB2312"/>
          <w:bCs/>
          <w:sz w:val="24"/>
        </w:rPr>
        <w:t>约</w:t>
      </w:r>
      <w:r>
        <w:rPr>
          <w:rFonts w:eastAsia="楷体_GB2312"/>
          <w:kern w:val="0"/>
          <w:sz w:val="24"/>
        </w:rPr>
        <w:t>定任命的</w:t>
      </w:r>
      <w:r>
        <w:rPr>
          <w:rFonts w:eastAsia="楷体_GB2312"/>
          <w:bCs/>
          <w:sz w:val="24"/>
        </w:rPr>
        <w:t>“</w:t>
      </w:r>
      <w:r>
        <w:rPr>
          <w:rFonts w:eastAsia="楷体_GB2312"/>
          <w:kern w:val="0"/>
          <w:sz w:val="24"/>
        </w:rPr>
        <w:t>后备贷款服务机构</w:t>
      </w:r>
      <w:r>
        <w:rPr>
          <w:rFonts w:eastAsia="楷体_GB2312"/>
          <w:bCs/>
          <w:sz w:val="24"/>
        </w:rPr>
        <w:t>”</w:t>
      </w:r>
      <w:r>
        <w:rPr>
          <w:rFonts w:eastAsia="楷体_GB2312"/>
          <w:kern w:val="0"/>
          <w:sz w:val="24"/>
        </w:rPr>
        <w:t>，</w:t>
      </w:r>
      <w:r>
        <w:rPr>
          <w:rFonts w:eastAsia="楷体_GB2312"/>
          <w:bCs/>
          <w:sz w:val="24"/>
        </w:rPr>
        <w:t>以及</w:t>
      </w:r>
      <w:r>
        <w:rPr>
          <w:rFonts w:eastAsia="楷体_GB2312"/>
          <w:kern w:val="0"/>
          <w:sz w:val="24"/>
        </w:rPr>
        <w:t>任何允许的继任机构。</w:t>
      </w:r>
    </w:p>
    <w:p w14:paraId="53F0B758">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bCs/>
          <w:sz w:val="24"/>
        </w:rPr>
        <w:t>替代贷款服务机构：</w:t>
      </w:r>
      <w:r>
        <w:rPr>
          <w:rFonts w:eastAsia="楷体_GB2312"/>
          <w:kern w:val="0"/>
          <w:sz w:val="24"/>
        </w:rPr>
        <w:t>系指</w:t>
      </w:r>
      <w:r>
        <w:rPr>
          <w:rFonts w:eastAsia="楷体_GB2312"/>
          <w:sz w:val="24"/>
        </w:rPr>
        <w:t>“受托人”</w:t>
      </w:r>
      <w:r>
        <w:rPr>
          <w:rFonts w:eastAsia="楷体_GB2312"/>
          <w:kern w:val="0"/>
          <w:sz w:val="24"/>
        </w:rPr>
        <w:t>根据“《服务合同》”的</w:t>
      </w:r>
      <w:r>
        <w:rPr>
          <w:rFonts w:eastAsia="楷体_GB2312"/>
          <w:bCs/>
          <w:sz w:val="24"/>
        </w:rPr>
        <w:t>约</w:t>
      </w:r>
      <w:r>
        <w:rPr>
          <w:rFonts w:eastAsia="楷体_GB2312"/>
          <w:kern w:val="0"/>
          <w:sz w:val="24"/>
        </w:rPr>
        <w:t>定任命的“替代贷款服务机构”，以及任何允许的继任机构。</w:t>
      </w:r>
    </w:p>
    <w:p w14:paraId="54B6907F">
      <w:pPr>
        <w:numPr>
          <w:ilvl w:val="1"/>
          <w:numId w:val="5"/>
        </w:numPr>
        <w:tabs>
          <w:tab w:val="left" w:pos="851"/>
        </w:tabs>
        <w:spacing w:before="156" w:beforeLines="50" w:after="156" w:afterLines="50" w:line="360" w:lineRule="auto"/>
        <w:ind w:left="851" w:hanging="851"/>
        <w:rPr>
          <w:rFonts w:eastAsia="楷体_GB2312"/>
          <w:sz w:val="24"/>
        </w:rPr>
      </w:pPr>
      <w:r>
        <w:rPr>
          <w:rFonts w:eastAsia="楷体_GB2312"/>
          <w:b/>
          <w:sz w:val="24"/>
        </w:rPr>
        <w:t>资金保管机构：</w:t>
      </w:r>
      <w:r>
        <w:rPr>
          <w:rFonts w:eastAsia="楷体_GB2312"/>
          <w:sz w:val="24"/>
        </w:rPr>
        <w:t>系指【资金保管机构全称】或“《资金保管合同》”允许的</w:t>
      </w:r>
      <w:r>
        <w:rPr>
          <w:rFonts w:eastAsia="楷体_GB2312"/>
          <w:bCs/>
          <w:sz w:val="24"/>
        </w:rPr>
        <w:t>继任</w:t>
      </w:r>
      <w:r>
        <w:rPr>
          <w:rFonts w:eastAsia="楷体_GB2312"/>
          <w:sz w:val="24"/>
        </w:rPr>
        <w:t>机构。</w:t>
      </w:r>
    </w:p>
    <w:p w14:paraId="7AD236B1">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替代资金保管机构：</w:t>
      </w:r>
      <w:r>
        <w:rPr>
          <w:rFonts w:eastAsia="楷体_GB2312"/>
          <w:kern w:val="0"/>
          <w:sz w:val="24"/>
        </w:rPr>
        <w:t>系指</w:t>
      </w:r>
      <w:r>
        <w:rPr>
          <w:rFonts w:eastAsia="楷体_GB2312"/>
          <w:sz w:val="24"/>
        </w:rPr>
        <w:t>“受托人”</w:t>
      </w:r>
      <w:r>
        <w:rPr>
          <w:rFonts w:eastAsia="楷体_GB2312"/>
          <w:kern w:val="0"/>
          <w:sz w:val="24"/>
        </w:rPr>
        <w:t>根据“《资金保管合同》”的</w:t>
      </w:r>
      <w:r>
        <w:rPr>
          <w:rFonts w:eastAsia="楷体_GB2312"/>
          <w:bCs/>
          <w:sz w:val="24"/>
        </w:rPr>
        <w:t>约</w:t>
      </w:r>
      <w:r>
        <w:rPr>
          <w:rFonts w:eastAsia="楷体_GB2312"/>
          <w:kern w:val="0"/>
          <w:sz w:val="24"/>
        </w:rPr>
        <w:t>定任命的</w:t>
      </w:r>
      <w:r>
        <w:rPr>
          <w:rFonts w:eastAsia="楷体_GB2312"/>
          <w:bCs/>
          <w:sz w:val="24"/>
        </w:rPr>
        <w:t>“</w:t>
      </w:r>
      <w:r>
        <w:rPr>
          <w:rFonts w:eastAsia="楷体_GB2312"/>
          <w:kern w:val="0"/>
          <w:sz w:val="24"/>
        </w:rPr>
        <w:t>替代资金保管机构</w:t>
      </w:r>
      <w:r>
        <w:rPr>
          <w:rFonts w:eastAsia="楷体_GB2312"/>
          <w:bCs/>
          <w:sz w:val="24"/>
        </w:rPr>
        <w:t>”</w:t>
      </w:r>
      <w:r>
        <w:rPr>
          <w:rFonts w:eastAsia="楷体_GB2312"/>
          <w:kern w:val="0"/>
          <w:sz w:val="24"/>
        </w:rPr>
        <w:t>，以及任何允许的继任机构。</w:t>
      </w:r>
    </w:p>
    <w:p w14:paraId="6D892D58">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审计师：</w:t>
      </w:r>
      <w:r>
        <w:rPr>
          <w:rFonts w:eastAsia="楷体_GB2312"/>
          <w:kern w:val="0"/>
          <w:sz w:val="24"/>
        </w:rPr>
        <w:t>系指由</w:t>
      </w:r>
      <w:r>
        <w:rPr>
          <w:rFonts w:eastAsia="楷体_GB2312"/>
          <w:bCs/>
          <w:sz w:val="24"/>
        </w:rPr>
        <w:t>“受托人”</w:t>
      </w:r>
      <w:r>
        <w:rPr>
          <w:rFonts w:eastAsia="楷体_GB2312"/>
          <w:kern w:val="0"/>
          <w:sz w:val="24"/>
        </w:rPr>
        <w:t>认可的在</w:t>
      </w:r>
      <w:r>
        <w:rPr>
          <w:rFonts w:eastAsia="楷体_GB2312"/>
          <w:bCs/>
          <w:kern w:val="0"/>
          <w:sz w:val="24"/>
        </w:rPr>
        <w:t>“信托”设立后为“信托”提供有关服务的</w:t>
      </w:r>
      <w:r>
        <w:rPr>
          <w:rFonts w:eastAsia="楷体_GB2312"/>
          <w:kern w:val="0"/>
          <w:sz w:val="24"/>
        </w:rPr>
        <w:t>会计师事务所。</w:t>
      </w:r>
    </w:p>
    <w:p w14:paraId="429D6B5A">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评级机构：</w:t>
      </w:r>
      <w:bookmarkStart w:id="12" w:name="_Hlk220101974"/>
      <w:r>
        <w:rPr>
          <w:rFonts w:eastAsia="楷体_GB2312"/>
          <w:sz w:val="24"/>
        </w:rPr>
        <w:t>系指“【评级机构1简称】”和“【评级机构2简称】”。</w:t>
      </w:r>
      <w:r>
        <w:rPr>
          <w:rFonts w:eastAsia="楷体_GB2312"/>
          <w:color w:val="000000"/>
          <w:sz w:val="24"/>
        </w:rPr>
        <w:t>下文所称任一</w:t>
      </w:r>
      <w:r>
        <w:rPr>
          <w:rFonts w:hint="eastAsia" w:eastAsia="楷体_GB2312"/>
          <w:color w:val="000000"/>
          <w:sz w:val="24"/>
        </w:rPr>
        <w:t>“</w:t>
      </w:r>
      <w:r>
        <w:rPr>
          <w:rFonts w:eastAsia="楷体_GB2312"/>
          <w:color w:val="000000"/>
          <w:sz w:val="24"/>
        </w:rPr>
        <w:t>评级机构</w:t>
      </w:r>
      <w:r>
        <w:rPr>
          <w:rFonts w:hint="eastAsia" w:eastAsia="楷体_GB2312"/>
          <w:color w:val="000000"/>
          <w:sz w:val="24"/>
        </w:rPr>
        <w:t>”</w:t>
      </w:r>
      <w:r>
        <w:rPr>
          <w:rFonts w:eastAsia="楷体_GB2312"/>
          <w:color w:val="000000"/>
          <w:sz w:val="24"/>
        </w:rPr>
        <w:t>，指“</w:t>
      </w:r>
      <w:r>
        <w:rPr>
          <w:rFonts w:eastAsia="楷体_GB2312"/>
          <w:sz w:val="24"/>
        </w:rPr>
        <w:t>【评级机构1简称】</w:t>
      </w:r>
      <w:r>
        <w:rPr>
          <w:rFonts w:eastAsia="楷体_GB2312"/>
          <w:color w:val="000000"/>
          <w:sz w:val="24"/>
        </w:rPr>
        <w:t>”或“【评级机构2简称】”；除上下文另有特别说明外，“</w:t>
      </w:r>
      <w:r>
        <w:rPr>
          <w:rFonts w:eastAsia="楷体_GB2312"/>
          <w:sz w:val="24"/>
        </w:rPr>
        <w:t>【评级机构1简称】</w:t>
      </w:r>
      <w:r>
        <w:rPr>
          <w:rFonts w:eastAsia="楷体_GB2312"/>
          <w:color w:val="000000"/>
          <w:sz w:val="24"/>
        </w:rPr>
        <w:t>”或“【评级机构2简称】”任何一方不单独被称为“评级机构”。</w:t>
      </w:r>
      <w:r>
        <w:rPr>
          <w:rFonts w:eastAsia="楷体_GB2312"/>
          <w:sz w:val="24"/>
        </w:rPr>
        <w:t>如果“【评级机构1简称】”或“【评级机构2简称】”一方暂时无法提供主体长期信用等级时，则以另一方提供的主体长期信用等级为准</w:t>
      </w:r>
      <w:bookmarkEnd w:id="12"/>
      <w:r>
        <w:rPr>
          <w:rFonts w:eastAsia="楷体_GB2312"/>
          <w:sz w:val="24"/>
        </w:rPr>
        <w:t>。</w:t>
      </w:r>
    </w:p>
    <w:p w14:paraId="2C2C2234">
      <w:pPr>
        <w:numPr>
          <w:ilvl w:val="1"/>
          <w:numId w:val="5"/>
        </w:numPr>
        <w:tabs>
          <w:tab w:val="left" w:pos="851"/>
        </w:tabs>
        <w:spacing w:before="156" w:beforeLines="50" w:after="156" w:afterLines="50" w:line="360" w:lineRule="auto"/>
        <w:rPr>
          <w:rFonts w:eastAsia="楷体_GB2312"/>
          <w:bCs/>
          <w:sz w:val="24"/>
        </w:rPr>
      </w:pPr>
      <w:r>
        <w:rPr>
          <w:rFonts w:eastAsia="楷体_GB2312"/>
          <w:b/>
          <w:sz w:val="24"/>
        </w:rPr>
        <w:t>【评级机构1简称】：</w:t>
      </w:r>
      <w:r>
        <w:rPr>
          <w:rFonts w:eastAsia="楷体_GB2312"/>
          <w:bCs/>
          <w:sz w:val="24"/>
        </w:rPr>
        <w:t>系指【评级机构1全称】。</w:t>
      </w:r>
    </w:p>
    <w:p w14:paraId="3428FBCF">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【评级机构2简称】：</w:t>
      </w:r>
      <w:r>
        <w:rPr>
          <w:rFonts w:eastAsia="楷体_GB2312"/>
          <w:bCs/>
          <w:sz w:val="24"/>
        </w:rPr>
        <w:t>系指【评级机构2全称】。</w:t>
      </w:r>
    </w:p>
    <w:p w14:paraId="235102A7">
      <w:pPr>
        <w:numPr>
          <w:ilvl w:val="1"/>
          <w:numId w:val="5"/>
        </w:numPr>
        <w:tabs>
          <w:tab w:val="left" w:pos="851"/>
        </w:tabs>
        <w:spacing w:before="156" w:beforeLines="50" w:after="156" w:afterLines="50" w:line="360" w:lineRule="auto"/>
        <w:ind w:left="851" w:hanging="851"/>
        <w:rPr>
          <w:rFonts w:eastAsia="楷体_GB2312"/>
          <w:b/>
          <w:sz w:val="24"/>
        </w:rPr>
      </w:pPr>
      <w:r>
        <w:rPr>
          <w:rFonts w:eastAsia="楷体_GB2312"/>
          <w:b/>
          <w:bCs/>
          <w:sz w:val="24"/>
        </w:rPr>
        <w:t>法律顾问</w:t>
      </w:r>
      <w:r>
        <w:rPr>
          <w:rFonts w:eastAsia="楷体_GB2312"/>
          <w:b/>
          <w:sz w:val="24"/>
        </w:rPr>
        <w:t>：</w:t>
      </w:r>
      <w:r>
        <w:rPr>
          <w:rFonts w:eastAsia="楷体_GB2312"/>
          <w:bCs/>
          <w:sz w:val="24"/>
        </w:rPr>
        <w:t>系指【法律顾问全称】。</w:t>
      </w:r>
    </w:p>
    <w:p w14:paraId="75DF7AF6">
      <w:pPr>
        <w:numPr>
          <w:ilvl w:val="1"/>
          <w:numId w:val="5"/>
        </w:numPr>
        <w:tabs>
          <w:tab w:val="left" w:pos="851"/>
        </w:tabs>
        <w:spacing w:before="156" w:beforeLines="50" w:after="156" w:afterLines="50" w:line="360" w:lineRule="auto"/>
        <w:ind w:left="851" w:hanging="851"/>
        <w:rPr>
          <w:rFonts w:eastAsia="楷体_GB2312"/>
          <w:b/>
          <w:sz w:val="24"/>
        </w:rPr>
      </w:pPr>
      <w:r>
        <w:rPr>
          <w:rFonts w:eastAsia="楷体_GB2312"/>
          <w:b/>
          <w:bCs/>
          <w:sz w:val="24"/>
        </w:rPr>
        <w:t>评估</w:t>
      </w:r>
      <w:r>
        <w:rPr>
          <w:rFonts w:eastAsia="楷体_GB2312"/>
          <w:b/>
          <w:color w:val="000000" w:themeColor="text1"/>
          <w:sz w:val="24"/>
          <w14:textFill>
            <w14:solidFill>
              <w14:schemeClr w14:val="tx1"/>
            </w14:solidFill>
          </w14:textFill>
        </w:rPr>
        <w:t>机构：</w:t>
      </w:r>
      <w:r>
        <w:rPr>
          <w:rFonts w:eastAsia="楷体_GB2312"/>
          <w:color w:val="000000" w:themeColor="text1"/>
          <w:sz w:val="24"/>
          <w14:textFill>
            <w14:solidFill>
              <w14:schemeClr w14:val="tx1"/>
            </w14:solidFill>
          </w14:textFill>
        </w:rPr>
        <w:t>系指【评估机构全称】。“评估机构”应就入池“</w:t>
      </w:r>
      <w:r>
        <w:rPr>
          <w:rFonts w:hint="eastAsia" w:eastAsia="楷体_GB2312"/>
          <w:color w:val="000000" w:themeColor="text1"/>
          <w:sz w:val="24"/>
          <w14:textFill>
            <w14:solidFill>
              <w14:schemeClr w14:val="tx1"/>
            </w14:solidFill>
          </w14:textFill>
        </w:rPr>
        <w:t>信贷</w:t>
      </w:r>
      <w:r>
        <w:rPr>
          <w:rFonts w:eastAsia="楷体_GB2312"/>
          <w:color w:val="000000" w:themeColor="text1"/>
          <w:sz w:val="24"/>
          <w14:textFill>
            <w14:solidFill>
              <w14:schemeClr w14:val="tx1"/>
            </w14:solidFill>
          </w14:textFill>
        </w:rPr>
        <w:t>资产”开展尽职调查，并出具评估报告。</w:t>
      </w:r>
    </w:p>
    <w:p w14:paraId="197D1559">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会计顾问</w:t>
      </w:r>
      <w:r>
        <w:rPr>
          <w:rFonts w:eastAsia="楷体_GB2312"/>
          <w:b/>
          <w:color w:val="000000" w:themeColor="text1"/>
          <w:sz w:val="24"/>
          <w14:textFill>
            <w14:solidFill>
              <w14:schemeClr w14:val="tx1"/>
            </w14:solidFill>
          </w14:textFill>
        </w:rPr>
        <w:t>/税务顾问</w:t>
      </w:r>
      <w:r>
        <w:rPr>
          <w:rFonts w:eastAsia="楷体_GB2312"/>
          <w:b/>
          <w:sz w:val="24"/>
        </w:rPr>
        <w:t>：</w:t>
      </w:r>
      <w:r>
        <w:rPr>
          <w:rFonts w:eastAsia="楷体_GB2312"/>
          <w:bCs/>
          <w:sz w:val="24"/>
        </w:rPr>
        <w:t>系指【会计顾问全称】。</w:t>
      </w:r>
    </w:p>
    <w:p w14:paraId="6EA8B30C">
      <w:pPr>
        <w:tabs>
          <w:tab w:val="left" w:pos="425"/>
          <w:tab w:val="left" w:pos="851"/>
        </w:tabs>
        <w:spacing w:before="156" w:beforeLines="50" w:after="156" w:afterLines="50" w:line="360" w:lineRule="auto"/>
        <w:ind w:left="851"/>
        <w:rPr>
          <w:rFonts w:eastAsia="楷体_GB2312"/>
          <w:b/>
          <w:sz w:val="24"/>
        </w:rPr>
      </w:pPr>
      <w:r>
        <w:rPr>
          <w:rFonts w:eastAsia="楷体_GB2312"/>
          <w:b/>
          <w:bCs/>
          <w:i/>
          <w:iCs/>
          <w:color w:val="FF0000"/>
          <w:sz w:val="24"/>
        </w:rPr>
        <w:t>【注：会计顾问/税务顾问、法律顾问、评估机构均指项目发行时的中介机构，可视项目情况补充或调整。】</w:t>
      </w:r>
    </w:p>
    <w:p w14:paraId="58E9CAA5">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登记托管机构：</w:t>
      </w:r>
      <w:r>
        <w:rPr>
          <w:rFonts w:eastAsia="楷体_GB2312"/>
          <w:bCs/>
          <w:sz w:val="24"/>
        </w:rPr>
        <w:t>系指中央国债登记结算有限责任公司或其他监管认可的登记结算公司。</w:t>
      </w:r>
    </w:p>
    <w:p w14:paraId="1C0FFC60">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sz w:val="24"/>
        </w:rPr>
        <w:t>支付代理机构：</w:t>
      </w:r>
      <w:r>
        <w:rPr>
          <w:rFonts w:eastAsia="楷体_GB2312"/>
          <w:bCs/>
          <w:sz w:val="24"/>
        </w:rPr>
        <w:t>系指中央国债登记结算有限责任公司或其他监管认可的登记结算公司。</w:t>
      </w:r>
    </w:p>
    <w:p w14:paraId="2C51BFF3">
      <w:pPr>
        <w:numPr>
          <w:ilvl w:val="1"/>
          <w:numId w:val="5"/>
        </w:numPr>
        <w:spacing w:before="156" w:beforeLines="50" w:after="156" w:afterLines="50" w:line="360" w:lineRule="auto"/>
        <w:rPr>
          <w:rFonts w:eastAsia="楷体_GB2312"/>
          <w:b/>
          <w:bCs/>
          <w:sz w:val="24"/>
        </w:rPr>
      </w:pPr>
      <w:r>
        <w:rPr>
          <w:rFonts w:eastAsia="楷体_GB2312"/>
          <w:b/>
          <w:sz w:val="24"/>
        </w:rPr>
        <w:t>同业拆借中心：</w:t>
      </w:r>
      <w:r>
        <w:rPr>
          <w:rFonts w:eastAsia="楷体_GB2312"/>
          <w:kern w:val="0"/>
          <w:sz w:val="24"/>
        </w:rPr>
        <w:t>系指全国银行间同业拆借中心。</w:t>
      </w:r>
    </w:p>
    <w:p w14:paraId="573D9548">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北金所：</w:t>
      </w:r>
      <w:r>
        <w:rPr>
          <w:rFonts w:eastAsia="楷体_GB2312"/>
          <w:bCs/>
          <w:sz w:val="24"/>
        </w:rPr>
        <w:t>系指北京金融资产交易所。</w:t>
      </w:r>
    </w:p>
    <w:p w14:paraId="7094DA59">
      <w:pPr>
        <w:pStyle w:val="6"/>
        <w:numPr>
          <w:ilvl w:val="0"/>
          <w:numId w:val="4"/>
        </w:numPr>
        <w:spacing w:before="156" w:beforeLines="50" w:after="156" w:afterLines="50" w:line="360" w:lineRule="auto"/>
        <w:ind w:leftChars="0"/>
        <w:outlineLvl w:val="2"/>
        <w:rPr>
          <w:rFonts w:eastAsia="楷体_GB2312"/>
          <w:b/>
          <w:sz w:val="24"/>
        </w:rPr>
      </w:pPr>
      <w:r>
        <w:rPr>
          <w:rFonts w:eastAsia="楷体_GB2312"/>
          <w:b/>
          <w:sz w:val="24"/>
        </w:rPr>
        <w:t>审批、监管与登记机构的定义</w:t>
      </w:r>
    </w:p>
    <w:p w14:paraId="19897774">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color w:val="000000" w:themeColor="text1"/>
          <w:sz w:val="24"/>
          <w14:textFill>
            <w14:solidFill>
              <w14:schemeClr w14:val="tx1"/>
            </w14:solidFill>
          </w14:textFill>
        </w:rPr>
        <w:t>金融监管总局：</w:t>
      </w:r>
      <w:r>
        <w:rPr>
          <w:rFonts w:eastAsia="楷体_GB2312"/>
          <w:sz w:val="24"/>
        </w:rPr>
        <w:t>系指国家金融监督管理总局。就原中国银行业监督管理委员会或原中国银行保险监督管理委员会发布的规章、规范性文件、出具的批准文件、颁发的许可证等材料，如未失效或被废止，则“交易文件”中的“金融监管总局”也指原中国银行业监督管理委员会或原中国银行保险监督管理委员会</w:t>
      </w:r>
      <w:r>
        <w:rPr>
          <w:rFonts w:eastAsia="楷体_GB2312"/>
          <w:bCs/>
          <w:sz w:val="24"/>
        </w:rPr>
        <w:t>。</w:t>
      </w:r>
    </w:p>
    <w:p w14:paraId="49B85F01">
      <w:pPr>
        <w:numPr>
          <w:ilvl w:val="1"/>
          <w:numId w:val="5"/>
        </w:numPr>
        <w:tabs>
          <w:tab w:val="clear" w:pos="720"/>
        </w:tabs>
        <w:spacing w:after="360" w:line="360" w:lineRule="exact"/>
        <w:rPr>
          <w:rFonts w:eastAsia="楷体_GB2312"/>
          <w:b/>
          <w:bCs/>
          <w:sz w:val="24"/>
        </w:rPr>
      </w:pPr>
      <w:r>
        <w:rPr>
          <w:rFonts w:eastAsia="楷体_GB2312"/>
          <w:b/>
          <w:bCs/>
          <w:sz w:val="24"/>
        </w:rPr>
        <w:t>人民银行：</w:t>
      </w:r>
      <w:r>
        <w:rPr>
          <w:rFonts w:eastAsia="楷体_GB2312"/>
          <w:bCs/>
          <w:sz w:val="24"/>
        </w:rPr>
        <w:t>系指中国人民银行。</w:t>
      </w:r>
    </w:p>
    <w:p w14:paraId="4121763D">
      <w:pPr>
        <w:numPr>
          <w:ilvl w:val="1"/>
          <w:numId w:val="5"/>
        </w:numPr>
        <w:tabs>
          <w:tab w:val="left" w:pos="840"/>
          <w:tab w:val="left" w:pos="1145"/>
          <w:tab w:val="clear" w:pos="720"/>
        </w:tabs>
        <w:spacing w:before="156" w:beforeLines="50" w:after="156" w:afterLines="50" w:line="360" w:lineRule="auto"/>
        <w:ind w:left="851" w:hanging="851"/>
        <w:rPr>
          <w:rFonts w:eastAsia="楷体_GB2312"/>
          <w:b/>
          <w:bCs/>
          <w:sz w:val="24"/>
        </w:rPr>
      </w:pPr>
      <w:r>
        <w:rPr>
          <w:rFonts w:eastAsia="楷体_GB2312"/>
          <w:b/>
          <w:bCs/>
          <w:sz w:val="24"/>
        </w:rPr>
        <w:t>监管部门：</w:t>
      </w:r>
      <w:r>
        <w:rPr>
          <w:rFonts w:eastAsia="楷体_GB2312"/>
          <w:bCs/>
          <w:sz w:val="24"/>
        </w:rPr>
        <w:t>系指“人民银行”、“金融监管总局”等国家金融业监管机构。</w:t>
      </w:r>
    </w:p>
    <w:p w14:paraId="3BC1E9F0">
      <w:pPr>
        <w:numPr>
          <w:ilvl w:val="1"/>
          <w:numId w:val="5"/>
        </w:numPr>
        <w:tabs>
          <w:tab w:val="clear" w:pos="720"/>
        </w:tabs>
        <w:spacing w:after="360" w:line="360" w:lineRule="exact"/>
        <w:rPr>
          <w:rFonts w:eastAsia="楷体_GB2312"/>
          <w:b/>
          <w:bCs/>
          <w:sz w:val="24"/>
        </w:rPr>
      </w:pPr>
      <w:r>
        <w:rPr>
          <w:rFonts w:eastAsia="楷体_GB2312"/>
          <w:b/>
          <w:bCs/>
          <w:sz w:val="24"/>
        </w:rPr>
        <w:t>交易商协会：</w:t>
      </w:r>
      <w:r>
        <w:rPr>
          <w:rFonts w:eastAsia="楷体_GB2312"/>
          <w:bCs/>
          <w:sz w:val="24"/>
        </w:rPr>
        <w:t>系指中国银行间市场交易商协会。</w:t>
      </w:r>
    </w:p>
    <w:p w14:paraId="1938659F">
      <w:pPr>
        <w:numPr>
          <w:ilvl w:val="1"/>
          <w:numId w:val="5"/>
        </w:numPr>
        <w:tabs>
          <w:tab w:val="clear" w:pos="720"/>
        </w:tabs>
        <w:spacing w:after="360" w:line="360" w:lineRule="exact"/>
        <w:rPr>
          <w:rFonts w:eastAsia="楷体_GB2312"/>
          <w:b/>
          <w:bCs/>
          <w:sz w:val="24"/>
        </w:rPr>
      </w:pPr>
      <w:r>
        <w:rPr>
          <w:rFonts w:eastAsia="楷体_GB2312"/>
          <w:b/>
          <w:bCs/>
          <w:sz w:val="24"/>
        </w:rPr>
        <w:t>银登中心：</w:t>
      </w:r>
      <w:r>
        <w:rPr>
          <w:rFonts w:eastAsia="楷体_GB2312"/>
          <w:sz w:val="24"/>
        </w:rPr>
        <w:t>系指银行业信贷资产登记流转中心有限公司。</w:t>
      </w:r>
    </w:p>
    <w:p w14:paraId="239F388A">
      <w:pPr>
        <w:pStyle w:val="6"/>
        <w:numPr>
          <w:ilvl w:val="0"/>
          <w:numId w:val="3"/>
        </w:numPr>
        <w:spacing w:before="156" w:beforeLines="50" w:after="156" w:afterLines="50" w:line="360" w:lineRule="auto"/>
        <w:ind w:leftChars="0"/>
        <w:outlineLvl w:val="1"/>
        <w:rPr>
          <w:rFonts w:eastAsia="楷体_GB2312"/>
          <w:b/>
          <w:sz w:val="24"/>
        </w:rPr>
      </w:pPr>
      <w:bookmarkStart w:id="13" w:name="_Toc173860433"/>
      <w:r>
        <w:rPr>
          <w:rFonts w:eastAsia="楷体_GB2312"/>
          <w:b/>
          <w:sz w:val="24"/>
        </w:rPr>
        <w:t>项目涉及的各交易文件的定义</w:t>
      </w:r>
      <w:bookmarkEnd w:id="13"/>
    </w:p>
    <w:p w14:paraId="2E48CD51">
      <w:pPr>
        <w:numPr>
          <w:ilvl w:val="1"/>
          <w:numId w:val="5"/>
        </w:numPr>
        <w:tabs>
          <w:tab w:val="left" w:pos="851"/>
        </w:tabs>
        <w:spacing w:before="156" w:beforeLines="50" w:after="156" w:afterLines="50" w:line="360" w:lineRule="auto"/>
        <w:ind w:left="851" w:hanging="851"/>
        <w:rPr>
          <w:rFonts w:eastAsia="楷体_GB2312"/>
          <w:sz w:val="24"/>
        </w:rPr>
      </w:pPr>
      <w:r>
        <w:rPr>
          <w:rFonts w:eastAsia="楷体_GB2312"/>
          <w:b/>
          <w:color w:val="000000"/>
          <w:sz w:val="24"/>
        </w:rPr>
        <w:t>交易文件：</w:t>
      </w:r>
      <w:r>
        <w:rPr>
          <w:rFonts w:eastAsia="楷体_GB2312"/>
          <w:sz w:val="24"/>
        </w:rPr>
        <w:t>系指“《主定义表》”、“《信托合同》”、“《服务合同》”、“《资金保管合同》”、“《主承销协议》”、“《承销团协议》”、“</w:t>
      </w:r>
      <w:bookmarkStart w:id="14" w:name="_Hlk220103082"/>
      <w:r>
        <w:rPr>
          <w:rFonts w:eastAsia="楷体_GB2312"/>
          <w:sz w:val="24"/>
        </w:rPr>
        <w:t>债券发行、登记及代理兑付服务协议</w:t>
      </w:r>
      <w:bookmarkEnd w:id="14"/>
      <w:r>
        <w:rPr>
          <w:rFonts w:eastAsia="楷体_GB2312"/>
          <w:sz w:val="24"/>
        </w:rPr>
        <w:t>”</w:t>
      </w:r>
      <w:r>
        <w:rPr>
          <w:rFonts w:eastAsia="楷体_GB2312"/>
        </w:rPr>
        <w:t>、</w:t>
      </w:r>
      <w:r>
        <w:rPr>
          <w:rFonts w:eastAsia="楷体_GB2312"/>
          <w:sz w:val="24"/>
        </w:rPr>
        <w:t>“收费文件”以及其他相关的协议和文件。</w:t>
      </w:r>
    </w:p>
    <w:p w14:paraId="39F96555">
      <w:pPr>
        <w:numPr>
          <w:ilvl w:val="1"/>
          <w:numId w:val="5"/>
        </w:numPr>
        <w:tabs>
          <w:tab w:val="left" w:pos="851"/>
        </w:tabs>
        <w:spacing w:before="156" w:beforeLines="50" w:after="156" w:afterLines="50" w:line="360" w:lineRule="auto"/>
        <w:ind w:left="851" w:hanging="851"/>
        <w:rPr>
          <w:rFonts w:eastAsia="楷体_GB2312"/>
          <w:sz w:val="24"/>
        </w:rPr>
      </w:pPr>
      <w:r>
        <w:rPr>
          <w:rFonts w:eastAsia="楷体_GB2312"/>
          <w:b/>
          <w:sz w:val="24"/>
        </w:rPr>
        <w:t>《主定义表》：</w:t>
      </w:r>
      <w:r>
        <w:rPr>
          <w:rFonts w:eastAsia="楷体_GB2312"/>
          <w:sz w:val="24"/>
        </w:rPr>
        <w:t>系指“委托人”与“受托人”签署的编号为</w:t>
      </w:r>
      <w:r>
        <w:rPr>
          <w:rFonts w:eastAsia="楷体_GB2312"/>
          <w:bCs/>
          <w:sz w:val="24"/>
        </w:rPr>
        <w:t>【主定义表编号】</w:t>
      </w:r>
      <w:r>
        <w:rPr>
          <w:rFonts w:eastAsia="楷体_GB2312"/>
          <w:sz w:val="24"/>
        </w:rPr>
        <w:t>的由定义、释义或解释条款所构成的本主定义表及对本定义表的任何修改或补充。</w:t>
      </w:r>
    </w:p>
    <w:p w14:paraId="2FB13D9B">
      <w:pPr>
        <w:numPr>
          <w:ilvl w:val="1"/>
          <w:numId w:val="5"/>
        </w:numPr>
        <w:tabs>
          <w:tab w:val="left" w:pos="851"/>
        </w:tabs>
        <w:spacing w:before="156" w:beforeLines="50" w:after="156" w:afterLines="50" w:line="360" w:lineRule="auto"/>
        <w:ind w:left="851" w:hanging="851"/>
        <w:rPr>
          <w:rFonts w:eastAsia="楷体_GB2312"/>
          <w:sz w:val="24"/>
        </w:rPr>
      </w:pPr>
      <w:r>
        <w:rPr>
          <w:rFonts w:eastAsia="楷体_GB2312"/>
          <w:b/>
          <w:sz w:val="24"/>
        </w:rPr>
        <w:t>《信托合同》：</w:t>
      </w:r>
      <w:r>
        <w:rPr>
          <w:rFonts w:eastAsia="楷体_GB2312"/>
          <w:sz w:val="24"/>
        </w:rPr>
        <w:t>系指“委托人”与“受托人”签署的编号为【信托合同编号】的《【信托名称】之信托合同》及对该合同的任何修改或补充。</w:t>
      </w:r>
    </w:p>
    <w:p w14:paraId="3D9520FA">
      <w:pPr>
        <w:numPr>
          <w:ilvl w:val="1"/>
          <w:numId w:val="5"/>
        </w:numPr>
        <w:tabs>
          <w:tab w:val="left" w:pos="851"/>
        </w:tabs>
        <w:spacing w:before="156" w:beforeLines="50" w:after="156" w:afterLines="50" w:line="360" w:lineRule="auto"/>
        <w:ind w:left="851" w:hanging="851"/>
        <w:rPr>
          <w:rFonts w:eastAsia="楷体_GB2312"/>
          <w:bCs/>
          <w:sz w:val="24"/>
        </w:rPr>
      </w:pPr>
      <w:r>
        <w:rPr>
          <w:rFonts w:eastAsia="楷体_GB2312"/>
          <w:b/>
          <w:bCs/>
          <w:sz w:val="24"/>
        </w:rPr>
        <w:t>《服务合同》：</w:t>
      </w:r>
      <w:r>
        <w:rPr>
          <w:rFonts w:eastAsia="楷体_GB2312"/>
          <w:bCs/>
          <w:sz w:val="24"/>
        </w:rPr>
        <w:t>系指“受托人”与</w:t>
      </w:r>
      <w:r>
        <w:rPr>
          <w:rFonts w:eastAsia="楷体_GB2312"/>
          <w:sz w:val="24"/>
        </w:rPr>
        <w:t>“贷款服务机构”签署的编号为【服务合同编号】的</w:t>
      </w:r>
      <w:r>
        <w:rPr>
          <w:rFonts w:eastAsia="楷体_GB2312"/>
          <w:bCs/>
          <w:sz w:val="24"/>
        </w:rPr>
        <w:t>《</w:t>
      </w:r>
      <w:r>
        <w:rPr>
          <w:rFonts w:eastAsia="楷体_GB2312"/>
          <w:sz w:val="24"/>
        </w:rPr>
        <w:t>【信托名称】</w:t>
      </w:r>
      <w:r>
        <w:rPr>
          <w:rFonts w:eastAsia="楷体_GB2312"/>
          <w:bCs/>
          <w:sz w:val="24"/>
        </w:rPr>
        <w:t>服务合同》</w:t>
      </w:r>
      <w:r>
        <w:rPr>
          <w:rFonts w:eastAsia="楷体_GB2312"/>
          <w:sz w:val="24"/>
        </w:rPr>
        <w:t>及对该合同的任何修改或补充</w:t>
      </w:r>
      <w:r>
        <w:rPr>
          <w:rFonts w:eastAsia="楷体_GB2312"/>
          <w:bCs/>
          <w:sz w:val="24"/>
        </w:rPr>
        <w:t>。</w:t>
      </w:r>
    </w:p>
    <w:p w14:paraId="1D1EDD1B">
      <w:pPr>
        <w:numPr>
          <w:ilvl w:val="1"/>
          <w:numId w:val="5"/>
        </w:numPr>
        <w:tabs>
          <w:tab w:val="left" w:pos="851"/>
        </w:tabs>
        <w:spacing w:before="156" w:beforeLines="50" w:after="156" w:afterLines="50" w:line="360" w:lineRule="auto"/>
        <w:ind w:left="851" w:hanging="851"/>
        <w:rPr>
          <w:rFonts w:eastAsia="楷体_GB2312"/>
          <w:sz w:val="24"/>
        </w:rPr>
      </w:pPr>
      <w:r>
        <w:rPr>
          <w:rFonts w:eastAsia="楷体_GB2312"/>
          <w:b/>
          <w:sz w:val="24"/>
        </w:rPr>
        <w:t>《资金保管合同》：</w:t>
      </w:r>
      <w:r>
        <w:rPr>
          <w:rFonts w:eastAsia="楷体_GB2312"/>
          <w:sz w:val="24"/>
        </w:rPr>
        <w:t>系指“受托人”与“资金保管机构”签署的编号为【资金保管合同编号】的《【信托名称】资金保管合同》及对该合同的任何修改或补充。</w:t>
      </w:r>
    </w:p>
    <w:p w14:paraId="441516D2">
      <w:pPr>
        <w:numPr>
          <w:ilvl w:val="1"/>
          <w:numId w:val="5"/>
        </w:numPr>
        <w:tabs>
          <w:tab w:val="left" w:pos="851"/>
        </w:tabs>
        <w:spacing w:before="156" w:beforeLines="50" w:after="156" w:afterLines="50" w:line="360" w:lineRule="auto"/>
        <w:ind w:left="851" w:hanging="851"/>
        <w:rPr>
          <w:rFonts w:eastAsia="楷体_GB2312"/>
          <w:sz w:val="24"/>
        </w:rPr>
      </w:pPr>
      <w:r>
        <w:rPr>
          <w:rFonts w:eastAsia="楷体_GB2312"/>
          <w:b/>
          <w:sz w:val="24"/>
        </w:rPr>
        <w:t>《主承销协议》：</w:t>
      </w:r>
      <w:r>
        <w:rPr>
          <w:rFonts w:eastAsia="楷体_GB2312"/>
          <w:sz w:val="24"/>
        </w:rPr>
        <w:t>系指“发行人”、“发起机构”与“主承销商”签署的编号为【主承销协议编号】的《【证券名称】主承销协议》及对该协议的任何修改或补充。</w:t>
      </w:r>
    </w:p>
    <w:p w14:paraId="78195119">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《承销团协议》：</w:t>
      </w:r>
      <w:r>
        <w:rPr>
          <w:rFonts w:eastAsia="楷体_GB2312"/>
          <w:sz w:val="24"/>
        </w:rPr>
        <w:t>系指“主承销商”与各“承销商”签署的</w:t>
      </w:r>
      <w:r>
        <w:rPr>
          <w:rFonts w:eastAsia="楷体_GB2312"/>
          <w:bCs/>
          <w:sz w:val="24"/>
        </w:rPr>
        <w:t>《</w:t>
      </w:r>
      <w:r>
        <w:rPr>
          <w:rFonts w:eastAsia="楷体_GB2312"/>
          <w:sz w:val="24"/>
        </w:rPr>
        <w:t>【证券名称】</w:t>
      </w:r>
      <w:r>
        <w:rPr>
          <w:rFonts w:eastAsia="楷体_GB2312"/>
          <w:bCs/>
          <w:sz w:val="24"/>
        </w:rPr>
        <w:t>承销团协议》</w:t>
      </w:r>
      <w:r>
        <w:rPr>
          <w:rFonts w:eastAsia="楷体_GB2312"/>
          <w:sz w:val="24"/>
        </w:rPr>
        <w:t>及对该协议的任何修改或补充。</w:t>
      </w:r>
    </w:p>
    <w:p w14:paraId="7E4931FA">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债券发行、登记及代理兑付服务协议：</w:t>
      </w:r>
      <w:r>
        <w:rPr>
          <w:rFonts w:eastAsia="楷体_GB2312"/>
          <w:sz w:val="24"/>
        </w:rPr>
        <w:t>系指“受托人”与“登记托管机构”/</w:t>
      </w:r>
      <w:r>
        <w:rPr>
          <w:rFonts w:eastAsia="楷体_GB2312"/>
          <w:bCs/>
          <w:sz w:val="24"/>
        </w:rPr>
        <w:t>“支付代理机构”</w:t>
      </w:r>
      <w:r>
        <w:rPr>
          <w:rFonts w:eastAsia="楷体_GB2312"/>
          <w:sz w:val="24"/>
        </w:rPr>
        <w:t>签署的关于债券发行、登记及代理兑付服务的相关协议及对该协议的任何修改或补充。</w:t>
      </w:r>
    </w:p>
    <w:p w14:paraId="590F3470">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收费文件：</w:t>
      </w:r>
      <w:r>
        <w:rPr>
          <w:rFonts w:eastAsia="楷体_GB2312"/>
          <w:bCs/>
          <w:sz w:val="24"/>
        </w:rPr>
        <w:t>统指</w:t>
      </w:r>
      <w:r>
        <w:rPr>
          <w:rFonts w:eastAsia="楷体_GB2312"/>
          <w:sz w:val="24"/>
        </w:rPr>
        <w:t>“受托人”与“委托人”、“贷款服务机构”、“资金保管机构”、“评级机构”、“审计师”、“法律顾问”、“会计顾问/税务顾问”、</w:t>
      </w:r>
      <w:r>
        <w:rPr>
          <w:rFonts w:eastAsia="楷体_GB2312"/>
          <w:color w:val="000000" w:themeColor="text1"/>
          <w:sz w:val="24"/>
          <w14:textFill>
            <w14:solidFill>
              <w14:schemeClr w14:val="tx1"/>
            </w14:solidFill>
          </w14:textFill>
        </w:rPr>
        <w:t>“评估机构”</w:t>
      </w:r>
      <w:r>
        <w:rPr>
          <w:rFonts w:hint="eastAsia" w:eastAsia="楷体_GB2312"/>
          <w:color w:val="000000" w:themeColor="text1"/>
          <w:sz w:val="24"/>
          <w14:textFill>
            <w14:solidFill>
              <w14:schemeClr w14:val="tx1"/>
            </w14:solidFill>
          </w14:textFill>
        </w:rPr>
        <w:t>、</w:t>
      </w:r>
      <w:r>
        <w:rPr>
          <w:rFonts w:eastAsia="楷体_GB2312"/>
          <w:sz w:val="24"/>
        </w:rPr>
        <w:t>“登记托管机构”/“支付代理机构”及其他相关的服务提供者签署的、关于支付因向“信托”提供服务而产生的报酬和费用的合同、协议或其他文件（如有）。</w:t>
      </w:r>
    </w:p>
    <w:p w14:paraId="375B86D4">
      <w:pPr>
        <w:tabs>
          <w:tab w:val="left" w:pos="425"/>
          <w:tab w:val="left" w:pos="851"/>
          <w:tab w:val="left" w:pos="2763"/>
        </w:tabs>
        <w:spacing w:before="156" w:beforeLines="50" w:after="156" w:afterLines="50" w:line="360" w:lineRule="auto"/>
        <w:ind w:left="851"/>
        <w:rPr>
          <w:rFonts w:eastAsia="楷体_GB2312"/>
          <w:b/>
          <w:bCs/>
          <w:i/>
          <w:color w:val="FF0000"/>
          <w:sz w:val="24"/>
        </w:rPr>
      </w:pPr>
      <w:r>
        <w:rPr>
          <w:rFonts w:eastAsia="楷体_GB2312"/>
          <w:b/>
          <w:bCs/>
          <w:i/>
          <w:color w:val="FF0000"/>
          <w:sz w:val="24"/>
        </w:rPr>
        <w:t>【注：“收费文件”的范围待根据项目的费用承担具体方式进行调整。】</w:t>
      </w:r>
    </w:p>
    <w:p w14:paraId="4D503A32">
      <w:pPr>
        <w:pStyle w:val="6"/>
        <w:numPr>
          <w:ilvl w:val="0"/>
          <w:numId w:val="3"/>
        </w:numPr>
        <w:spacing w:before="156" w:beforeLines="50" w:after="156" w:afterLines="50" w:line="360" w:lineRule="auto"/>
        <w:ind w:leftChars="0"/>
        <w:outlineLvl w:val="1"/>
        <w:rPr>
          <w:rFonts w:eastAsia="楷体_GB2312"/>
          <w:b/>
          <w:sz w:val="24"/>
        </w:rPr>
      </w:pPr>
      <w:bookmarkStart w:id="15" w:name="_Toc173860434"/>
      <w:r>
        <w:rPr>
          <w:rFonts w:eastAsia="楷体_GB2312"/>
          <w:b/>
          <w:sz w:val="24"/>
        </w:rPr>
        <w:t>与</w:t>
      </w:r>
      <w:r>
        <w:rPr>
          <w:rFonts w:hint="eastAsia" w:eastAsia="楷体_GB2312"/>
          <w:b/>
          <w:sz w:val="24"/>
        </w:rPr>
        <w:t>资产池、</w:t>
      </w:r>
      <w:r>
        <w:rPr>
          <w:rFonts w:eastAsia="楷体_GB2312"/>
          <w:b/>
          <w:sz w:val="24"/>
        </w:rPr>
        <w:t>信托相关的定义</w:t>
      </w:r>
      <w:bookmarkEnd w:id="15"/>
    </w:p>
    <w:p w14:paraId="19D57F6F">
      <w:pPr>
        <w:pStyle w:val="6"/>
        <w:numPr>
          <w:ilvl w:val="0"/>
          <w:numId w:val="6"/>
        </w:numPr>
        <w:spacing w:before="156" w:beforeLines="50" w:after="156" w:afterLines="50" w:line="360" w:lineRule="auto"/>
        <w:ind w:leftChars="0"/>
        <w:outlineLvl w:val="2"/>
        <w:rPr>
          <w:rFonts w:eastAsia="楷体_GB2312"/>
          <w:b/>
          <w:sz w:val="24"/>
        </w:rPr>
      </w:pPr>
      <w:bookmarkStart w:id="16" w:name="_Toc173860435"/>
      <w:r>
        <w:rPr>
          <w:rFonts w:eastAsia="楷体_GB2312"/>
          <w:b/>
          <w:sz w:val="24"/>
        </w:rPr>
        <w:t>与信托及信托财产相关的定义</w:t>
      </w:r>
      <w:bookmarkEnd w:id="16"/>
    </w:p>
    <w:p w14:paraId="2E86950D">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信托：</w:t>
      </w:r>
      <w:r>
        <w:rPr>
          <w:rFonts w:eastAsia="楷体_GB2312"/>
          <w:bCs/>
          <w:sz w:val="24"/>
        </w:rPr>
        <w:t>系指根据“《信托合同》”，由“委托人”和“受托人”双方设立的【信托名称】。</w:t>
      </w:r>
    </w:p>
    <w:p w14:paraId="7C10D163">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信托财产：</w:t>
      </w:r>
      <w:r>
        <w:rPr>
          <w:rFonts w:eastAsia="楷体_GB2312"/>
          <w:bCs/>
          <w:sz w:val="24"/>
        </w:rPr>
        <w:t>系指(a)“受托人”因承诺“信托”而在“信托财产交付日”从“委托人”处取得的财产；(b)在“信托期限”内“受托人”因对“信托财产”管理、运用、处分或者其他情形而取得的财产的总和。</w:t>
      </w:r>
    </w:p>
    <w:p w14:paraId="2C3DAF9D">
      <w:pPr>
        <w:tabs>
          <w:tab w:val="left" w:pos="425"/>
          <w:tab w:val="left" w:pos="851"/>
        </w:tabs>
        <w:spacing w:before="156" w:beforeLines="50" w:after="156" w:afterLines="50" w:line="360" w:lineRule="auto"/>
        <w:ind w:left="851"/>
        <w:rPr>
          <w:rFonts w:eastAsia="楷体_GB2312"/>
          <w:bCs/>
          <w:color w:val="FF0000"/>
          <w:sz w:val="24"/>
        </w:rPr>
      </w:pPr>
      <w:r>
        <w:rPr>
          <w:rFonts w:eastAsia="楷体_GB2312"/>
          <w:b/>
          <w:bCs/>
          <w:i/>
          <w:color w:val="FF0000"/>
          <w:sz w:val="24"/>
        </w:rPr>
        <w:t>【注：如信托财产涉及持续购买的，则在信托合同中相应补充持续购买相关条款。】</w:t>
      </w:r>
    </w:p>
    <w:p w14:paraId="5586DC32">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《借款合同》：</w:t>
      </w:r>
      <w:r>
        <w:rPr>
          <w:rFonts w:eastAsia="楷体_GB2312"/>
          <w:bCs/>
          <w:sz w:val="24"/>
        </w:rPr>
        <w:t>系指</w:t>
      </w:r>
      <w:r>
        <w:rPr>
          <w:rFonts w:eastAsia="楷体_GB2312"/>
          <w:sz w:val="24"/>
        </w:rPr>
        <w:t>“信贷资产清单”</w:t>
      </w:r>
      <w:r>
        <w:rPr>
          <w:rFonts w:eastAsia="楷体_GB2312"/>
          <w:bCs/>
          <w:sz w:val="24"/>
        </w:rPr>
        <w:t>中列明的“【发起机构简称】”与“借款人”签订的关于“【发起机构简称】”向“借款人”发放“贷款”的借款合同及其所有变更或补充协议。</w:t>
      </w:r>
    </w:p>
    <w:p w14:paraId="31BA52EA">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《保证合同》：</w:t>
      </w:r>
      <w:r>
        <w:rPr>
          <w:rFonts w:eastAsia="楷体_GB2312"/>
          <w:bCs/>
          <w:sz w:val="24"/>
        </w:rPr>
        <w:t>系指</w:t>
      </w:r>
      <w:r>
        <w:rPr>
          <w:rFonts w:eastAsia="楷体_GB2312"/>
          <w:sz w:val="24"/>
        </w:rPr>
        <w:t>“信贷资产清单”</w:t>
      </w:r>
      <w:r>
        <w:rPr>
          <w:rFonts w:eastAsia="楷体_GB2312"/>
          <w:bCs/>
          <w:sz w:val="24"/>
        </w:rPr>
        <w:t>中列明的“【发起机构简称】”与“保证人”签订的保证合同（包括但不限于双方签订的【最高额保证合同、“保证人”向“【发起机构简称】”出具的最高额担保</w:t>
      </w:r>
      <w:r>
        <w:rPr>
          <w:rFonts w:hint="eastAsia" w:eastAsia="楷体_GB2312"/>
          <w:bCs/>
          <w:sz w:val="24"/>
        </w:rPr>
        <w:t>函</w:t>
      </w:r>
      <w:r>
        <w:rPr>
          <w:rFonts w:eastAsia="楷体_GB2312"/>
          <w:bCs/>
          <w:sz w:val="24"/>
        </w:rPr>
        <w:t>】等）或“《借款合同》”中的保证条款及其所有变更或补充协议。</w:t>
      </w:r>
    </w:p>
    <w:p w14:paraId="540BB24C">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《抵押合同》：</w:t>
      </w:r>
      <w:r>
        <w:rPr>
          <w:rFonts w:eastAsia="楷体_GB2312"/>
          <w:bCs/>
          <w:sz w:val="24"/>
        </w:rPr>
        <w:t>系指“信贷资产清单”中列明的“【发起机构简称】”与“抵押人”签订的抵押合同（包括但不限于双方签订的【最高额抵押合同】等）或“</w:t>
      </w:r>
      <w:r>
        <w:rPr>
          <w:rFonts w:eastAsia="楷体_GB2312"/>
          <w:sz w:val="24"/>
        </w:rPr>
        <w:t>《借款合同》</w:t>
      </w:r>
      <w:r>
        <w:rPr>
          <w:rFonts w:eastAsia="楷体_GB2312"/>
          <w:bCs/>
          <w:sz w:val="24"/>
        </w:rPr>
        <w:t>”中的抵押条款及其所有变更或补充协议。</w:t>
      </w:r>
    </w:p>
    <w:p w14:paraId="5FC3FEE6">
      <w:pPr>
        <w:numPr>
          <w:ilvl w:val="1"/>
          <w:numId w:val="5"/>
        </w:numPr>
        <w:tabs>
          <w:tab w:val="left" w:pos="851"/>
        </w:tabs>
        <w:spacing w:before="156" w:beforeLines="50" w:after="156" w:afterLines="50" w:line="360" w:lineRule="auto"/>
        <w:ind w:left="851" w:hanging="851"/>
        <w:rPr>
          <w:rFonts w:eastAsia="楷体_GB2312"/>
          <w:b/>
          <w:bCs/>
          <w:sz w:val="24"/>
        </w:rPr>
      </w:pPr>
      <w:r>
        <w:rPr>
          <w:rFonts w:eastAsia="楷体_GB2312"/>
          <w:b/>
          <w:bCs/>
          <w:sz w:val="24"/>
        </w:rPr>
        <w:t>《质押合同》：</w:t>
      </w:r>
      <w:r>
        <w:rPr>
          <w:rFonts w:eastAsia="楷体_GB2312"/>
          <w:bCs/>
          <w:sz w:val="24"/>
        </w:rPr>
        <w:t>系指“信贷资产清单”中列明的“【发起机构简称】”与“出质人”签订的质押合同（包括但不限于双方签订的【最高额质押合同】等）或“</w:t>
      </w:r>
      <w:r>
        <w:rPr>
          <w:rFonts w:eastAsia="楷体_GB2312"/>
          <w:sz w:val="24"/>
        </w:rPr>
        <w:t>《借款合同》</w:t>
      </w:r>
      <w:r>
        <w:rPr>
          <w:rFonts w:eastAsia="楷体_GB2312"/>
          <w:bCs/>
          <w:sz w:val="24"/>
        </w:rPr>
        <w:t>”中的质押条款及其所有变更或补充协议。</w:t>
      </w:r>
    </w:p>
    <w:p w14:paraId="7D16AFF7">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《担保合同》：</w:t>
      </w:r>
      <w:r>
        <w:rPr>
          <w:rFonts w:eastAsia="楷体_GB2312"/>
          <w:kern w:val="0"/>
          <w:sz w:val="24"/>
        </w:rPr>
        <w:t>系指“《保证合同》”、“</w:t>
      </w:r>
      <w:r>
        <w:rPr>
          <w:rFonts w:eastAsia="楷体_GB2312"/>
          <w:sz w:val="24"/>
        </w:rPr>
        <w:t>《抵押合同》</w:t>
      </w:r>
      <w:r>
        <w:rPr>
          <w:rFonts w:eastAsia="楷体_GB2312"/>
          <w:kern w:val="0"/>
          <w:sz w:val="24"/>
        </w:rPr>
        <w:t>”和“《质押合同》”的统称。</w:t>
      </w:r>
    </w:p>
    <w:p w14:paraId="6A69A4F1">
      <w:pPr>
        <w:tabs>
          <w:tab w:val="left" w:pos="425"/>
          <w:tab w:val="left" w:pos="851"/>
        </w:tabs>
        <w:spacing w:before="156" w:beforeLines="50" w:after="156" w:afterLines="50" w:line="360" w:lineRule="auto"/>
        <w:ind w:left="851"/>
        <w:rPr>
          <w:rFonts w:eastAsia="楷体_GB2312"/>
          <w:b/>
          <w:bCs/>
          <w:sz w:val="24"/>
        </w:rPr>
      </w:pPr>
      <w:r>
        <w:rPr>
          <w:rFonts w:eastAsia="楷体_GB2312"/>
          <w:b/>
          <w:bCs/>
          <w:i/>
          <w:iCs/>
          <w:color w:val="FF0000"/>
          <w:sz w:val="24"/>
        </w:rPr>
        <w:t>【注：可根据项目资产附属权益实际情况确定该项定义的范围。】</w:t>
      </w:r>
    </w:p>
    <w:p w14:paraId="71E9A876">
      <w:pPr>
        <w:numPr>
          <w:ilvl w:val="1"/>
          <w:numId w:val="5"/>
        </w:numPr>
        <w:tabs>
          <w:tab w:val="left" w:pos="851"/>
        </w:tabs>
        <w:spacing w:before="156" w:beforeLines="50" w:after="156" w:afterLines="50" w:line="360" w:lineRule="auto"/>
        <w:ind w:left="851" w:hanging="851"/>
        <w:rPr>
          <w:rFonts w:eastAsia="楷体_GB2312"/>
          <w:bCs/>
          <w:sz w:val="24"/>
        </w:rPr>
      </w:pPr>
      <w:r>
        <w:rPr>
          <w:rFonts w:eastAsia="楷体_GB2312"/>
          <w:b/>
          <w:kern w:val="0"/>
          <w:sz w:val="24"/>
        </w:rPr>
        <w:t>贷款：</w:t>
      </w:r>
      <w:r>
        <w:rPr>
          <w:rFonts w:eastAsia="楷体_GB2312"/>
          <w:kern w:val="0"/>
          <w:sz w:val="24"/>
        </w:rPr>
        <w:t>系指由“委托人”根据“《借款合同》”发放的、且根据“《信托合同》”被信托予“受托人”的微小企业贷款或个人经营贷款，每笔“贷款”以【</w:t>
      </w:r>
      <w:r>
        <w:rPr>
          <w:rFonts w:eastAsia="楷体_GB2312"/>
          <w:sz w:val="24"/>
        </w:rPr>
        <w:t>借款支用凭证/“《借款合同》”</w:t>
      </w:r>
      <w:r>
        <w:rPr>
          <w:rFonts w:eastAsia="楷体_GB2312"/>
          <w:kern w:val="0"/>
          <w:sz w:val="24"/>
        </w:rPr>
        <w:t>】为单位进行区分。</w:t>
      </w:r>
      <w:r>
        <w:rPr>
          <w:rFonts w:eastAsia="楷体_GB2312"/>
          <w:bCs/>
          <w:sz w:val="24"/>
        </w:rPr>
        <w:t>“贷款”的明细见“信贷资产清单”。</w:t>
      </w:r>
    </w:p>
    <w:p w14:paraId="2BF09AD3">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借款人：</w:t>
      </w:r>
      <w:r>
        <w:rPr>
          <w:rFonts w:eastAsia="楷体_GB2312"/>
          <w:bCs/>
          <w:sz w:val="24"/>
        </w:rPr>
        <w:t>就各笔“贷款”而言，系指根据各“《借款合同》”负有偿还义务的债务人及/或其承继人</w:t>
      </w:r>
      <w:r>
        <w:rPr>
          <w:rFonts w:eastAsia="楷体_GB2312"/>
          <w:sz w:val="24"/>
        </w:rPr>
        <w:t>。</w:t>
      </w:r>
    </w:p>
    <w:p w14:paraId="4870501E">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保证人：</w:t>
      </w:r>
      <w:r>
        <w:rPr>
          <w:rFonts w:eastAsia="楷体_GB2312"/>
          <w:bCs/>
          <w:sz w:val="24"/>
        </w:rPr>
        <w:t>就各笔“贷款”而言，系指根据各“《保证合同》”为“贷款”提供保证的保证人及/或其承继人。</w:t>
      </w:r>
    </w:p>
    <w:p w14:paraId="17BE62F9">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抵押人：</w:t>
      </w:r>
      <w:r>
        <w:rPr>
          <w:rFonts w:eastAsia="楷体_GB2312"/>
          <w:bCs/>
          <w:sz w:val="24"/>
        </w:rPr>
        <w:t>就各笔“贷款”而言，系指根据各“《抵押合同》”为“贷款”提供抵押的抵押人及/或其承继人。</w:t>
      </w:r>
    </w:p>
    <w:p w14:paraId="7DE79649">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出质人：</w:t>
      </w:r>
      <w:r>
        <w:rPr>
          <w:rFonts w:eastAsia="楷体_GB2312"/>
          <w:bCs/>
          <w:sz w:val="24"/>
        </w:rPr>
        <w:t>就各笔“贷款”而言，系指根据各“《质押合同》”为“贷款”提供质押的出质人及/或其承继人。</w:t>
      </w:r>
    </w:p>
    <w:p w14:paraId="387D78B0">
      <w:pPr>
        <w:numPr>
          <w:ilvl w:val="1"/>
          <w:numId w:val="5"/>
        </w:numPr>
        <w:tabs>
          <w:tab w:val="left" w:pos="851"/>
          <w:tab w:val="clear" w:pos="720"/>
        </w:tabs>
        <w:spacing w:before="156" w:beforeLines="50" w:after="156" w:afterLines="50" w:line="360" w:lineRule="auto"/>
        <w:ind w:left="851" w:hanging="851"/>
        <w:rPr>
          <w:rFonts w:eastAsia="楷体_GB2312"/>
          <w:kern w:val="0"/>
          <w:sz w:val="24"/>
        </w:rPr>
      </w:pPr>
      <w:r>
        <w:rPr>
          <w:rFonts w:eastAsia="楷体_GB2312"/>
          <w:b/>
          <w:bCs/>
          <w:sz w:val="24"/>
        </w:rPr>
        <w:t>担保人：</w:t>
      </w:r>
      <w:r>
        <w:rPr>
          <w:rFonts w:eastAsia="楷体_GB2312"/>
          <w:bCs/>
          <w:sz w:val="24"/>
        </w:rPr>
        <w:t>系指</w:t>
      </w:r>
      <w:r>
        <w:rPr>
          <w:rFonts w:eastAsia="楷体_GB2312"/>
          <w:sz w:val="24"/>
        </w:rPr>
        <w:t>“保证人”</w:t>
      </w:r>
      <w:r>
        <w:rPr>
          <w:rFonts w:eastAsia="楷体_GB2312"/>
          <w:bCs/>
          <w:sz w:val="24"/>
        </w:rPr>
        <w:t>、“抵押人”和“出质人”的统称。</w:t>
      </w:r>
    </w:p>
    <w:p w14:paraId="408BCFAE">
      <w:pPr>
        <w:numPr>
          <w:ilvl w:val="1"/>
          <w:numId w:val="5"/>
        </w:numPr>
        <w:tabs>
          <w:tab w:val="left" w:pos="851"/>
          <w:tab w:val="left" w:pos="1145"/>
          <w:tab w:val="clear" w:pos="720"/>
        </w:tabs>
        <w:spacing w:before="156" w:beforeLines="50" w:after="156" w:afterLines="50" w:line="360" w:lineRule="auto"/>
        <w:ind w:left="851" w:hanging="851"/>
        <w:rPr>
          <w:rFonts w:eastAsia="楷体_GB2312"/>
          <w:kern w:val="0"/>
          <w:sz w:val="24"/>
        </w:rPr>
      </w:pPr>
      <w:r>
        <w:rPr>
          <w:rFonts w:eastAsia="楷体_GB2312"/>
          <w:b/>
          <w:color w:val="000000" w:themeColor="text1"/>
          <w:kern w:val="0"/>
          <w:sz w:val="24"/>
          <w14:textFill>
            <w14:solidFill>
              <w14:schemeClr w14:val="tx1"/>
            </w14:solidFill>
          </w14:textFill>
        </w:rPr>
        <w:t>义务人：</w:t>
      </w:r>
      <w:r>
        <w:rPr>
          <w:rFonts w:eastAsia="楷体_GB2312"/>
          <w:color w:val="000000" w:themeColor="text1"/>
          <w:kern w:val="0"/>
          <w:sz w:val="24"/>
          <w14:textFill>
            <w14:solidFill>
              <w14:schemeClr w14:val="tx1"/>
            </w14:solidFill>
          </w14:textFill>
        </w:rPr>
        <w:t>系“借款人”、“抵押人”、“保证人”、“出质人”以及有义务将“抵债资产”转移给“委托人”</w:t>
      </w:r>
      <w:r>
        <w:rPr>
          <w:rFonts w:eastAsia="楷体_GB2312"/>
          <w:color w:val="000000" w:themeColor="text1"/>
          <w:sz w:val="24"/>
          <w14:textFill>
            <w14:solidFill>
              <w14:schemeClr w14:val="tx1"/>
            </w14:solidFill>
          </w14:textFill>
        </w:rPr>
        <w:t>（如为</w:t>
      </w:r>
      <w:r>
        <w:rPr>
          <w:rFonts w:eastAsia="楷体_GB2312"/>
          <w:sz w:val="24"/>
        </w:rPr>
        <w:t>“信托生效日”（含该日）后</w:t>
      </w:r>
      <w:r>
        <w:rPr>
          <w:rFonts w:eastAsia="楷体_GB2312"/>
          <w:color w:val="000000" w:themeColor="text1"/>
          <w:sz w:val="24"/>
          <w14:textFill>
            <w14:solidFill>
              <w14:schemeClr w14:val="tx1"/>
            </w14:solidFill>
          </w14:textFill>
        </w:rPr>
        <w:t>，指</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受托人</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的主体及上述之主体的继承人、受让人、清算委员会（如有）或其他继受主体的统称。</w:t>
      </w:r>
    </w:p>
    <w:p w14:paraId="4EAB1496">
      <w:pPr>
        <w:numPr>
          <w:ilvl w:val="1"/>
          <w:numId w:val="5"/>
        </w:numPr>
        <w:tabs>
          <w:tab w:val="left" w:pos="851"/>
          <w:tab w:val="clear" w:pos="720"/>
        </w:tabs>
        <w:spacing w:before="156" w:beforeLines="50" w:after="156" w:afterLines="50" w:line="360" w:lineRule="auto"/>
        <w:ind w:left="851" w:hanging="851"/>
        <w:rPr>
          <w:rFonts w:eastAsia="楷体_GB2312"/>
          <w:kern w:val="0"/>
          <w:sz w:val="24"/>
        </w:rPr>
      </w:pPr>
      <w:r>
        <w:rPr>
          <w:rFonts w:eastAsia="楷体_GB2312"/>
          <w:b/>
          <w:bCs/>
          <w:sz w:val="24"/>
        </w:rPr>
        <w:t>抵押物</w:t>
      </w:r>
      <w:r>
        <w:rPr>
          <w:rFonts w:eastAsia="楷体_GB2312"/>
          <w:b/>
          <w:kern w:val="0"/>
          <w:sz w:val="24"/>
        </w:rPr>
        <w:t>：</w:t>
      </w:r>
      <w:r>
        <w:rPr>
          <w:rFonts w:eastAsia="楷体_GB2312"/>
          <w:kern w:val="0"/>
          <w:sz w:val="24"/>
        </w:rPr>
        <w:t>系指“</w:t>
      </w:r>
      <w:r>
        <w:rPr>
          <w:rFonts w:eastAsia="楷体_GB2312"/>
          <w:sz w:val="24"/>
        </w:rPr>
        <w:t>《抵押合同》</w:t>
      </w:r>
      <w:r>
        <w:rPr>
          <w:rFonts w:eastAsia="楷体_GB2312"/>
          <w:kern w:val="0"/>
          <w:sz w:val="24"/>
        </w:rPr>
        <w:t>”项下作为“抵押权”标的的机器设备、</w:t>
      </w:r>
      <w:r>
        <w:rPr>
          <w:rFonts w:eastAsia="楷体_GB2312"/>
          <w:sz w:val="24"/>
        </w:rPr>
        <w:t>房屋、土地使用权等抵押财产及其代位物</w:t>
      </w:r>
      <w:r>
        <w:rPr>
          <w:rFonts w:eastAsia="楷体_GB2312"/>
          <w:bCs/>
          <w:sz w:val="24"/>
        </w:rPr>
        <w:t>。</w:t>
      </w:r>
    </w:p>
    <w:p w14:paraId="1441982F">
      <w:pPr>
        <w:numPr>
          <w:ilvl w:val="1"/>
          <w:numId w:val="5"/>
        </w:numPr>
        <w:tabs>
          <w:tab w:val="left" w:pos="851"/>
          <w:tab w:val="clear" w:pos="720"/>
        </w:tabs>
        <w:spacing w:before="156" w:beforeLines="50" w:after="156" w:afterLines="50" w:line="360" w:lineRule="auto"/>
        <w:ind w:left="851" w:hanging="851"/>
        <w:rPr>
          <w:rFonts w:eastAsia="楷体_GB2312"/>
          <w:kern w:val="0"/>
          <w:sz w:val="24"/>
        </w:rPr>
      </w:pPr>
      <w:r>
        <w:rPr>
          <w:rFonts w:eastAsia="楷体_GB2312"/>
          <w:b/>
          <w:kern w:val="0"/>
          <w:sz w:val="24"/>
        </w:rPr>
        <w:t>抵押权：</w:t>
      </w:r>
      <w:r>
        <w:rPr>
          <w:rFonts w:eastAsia="楷体_GB2312"/>
          <w:kern w:val="0"/>
          <w:sz w:val="24"/>
        </w:rPr>
        <w:t>系指为担保</w:t>
      </w:r>
      <w:r>
        <w:rPr>
          <w:rFonts w:eastAsia="楷体_GB2312"/>
          <w:sz w:val="24"/>
        </w:rPr>
        <w:t>“贷款”</w:t>
      </w:r>
      <w:r>
        <w:rPr>
          <w:rFonts w:eastAsia="楷体_GB2312"/>
          <w:kern w:val="0"/>
          <w:sz w:val="24"/>
        </w:rPr>
        <w:t>的偿还而设定的以“抵押物”为担保的抵押权。</w:t>
      </w:r>
    </w:p>
    <w:p w14:paraId="337806CF">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kern w:val="0"/>
          <w:sz w:val="24"/>
        </w:rPr>
        <w:t>质押财产：</w:t>
      </w:r>
      <w:r>
        <w:rPr>
          <w:rFonts w:eastAsia="楷体_GB2312"/>
          <w:kern w:val="0"/>
          <w:sz w:val="24"/>
        </w:rPr>
        <w:t>系指“</w:t>
      </w:r>
      <w:r>
        <w:rPr>
          <w:rFonts w:eastAsia="楷体_GB2312"/>
          <w:sz w:val="24"/>
        </w:rPr>
        <w:t>《质押合同》</w:t>
      </w:r>
      <w:r>
        <w:rPr>
          <w:rFonts w:eastAsia="楷体_GB2312"/>
          <w:kern w:val="0"/>
          <w:sz w:val="24"/>
        </w:rPr>
        <w:t>”项下作为“质权”标的的【股权、应收账款】等质押财产。</w:t>
      </w:r>
    </w:p>
    <w:p w14:paraId="1EAA14D5">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质权：</w:t>
      </w:r>
      <w:r>
        <w:rPr>
          <w:rFonts w:eastAsia="楷体_GB2312"/>
          <w:kern w:val="0"/>
          <w:sz w:val="24"/>
        </w:rPr>
        <w:t>系指为担保</w:t>
      </w:r>
      <w:r>
        <w:rPr>
          <w:rFonts w:eastAsia="楷体_GB2312"/>
          <w:sz w:val="24"/>
        </w:rPr>
        <w:t>“贷款”</w:t>
      </w:r>
      <w:r>
        <w:rPr>
          <w:rFonts w:eastAsia="楷体_GB2312"/>
          <w:kern w:val="0"/>
          <w:sz w:val="24"/>
        </w:rPr>
        <w:t>的偿还而设定的以“质押财产”为担保的质权。</w:t>
      </w:r>
    </w:p>
    <w:p w14:paraId="7DEDFCDA">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kern w:val="0"/>
          <w:sz w:val="24"/>
        </w:rPr>
        <w:t>附属权益：</w:t>
      </w:r>
      <w:r>
        <w:rPr>
          <w:rFonts w:eastAsia="楷体_GB2312"/>
          <w:color w:val="000000" w:themeColor="text1"/>
          <w:sz w:val="24"/>
          <w14:textFill>
            <w14:solidFill>
              <w14:schemeClr w14:val="tx1"/>
            </w14:solidFill>
          </w14:textFill>
        </w:rPr>
        <w:t>就每笔“</w:t>
      </w:r>
      <w:r>
        <w:rPr>
          <w:rFonts w:eastAsia="楷体_GB2312"/>
          <w:kern w:val="0"/>
          <w:sz w:val="24"/>
        </w:rPr>
        <w:t>贷款</w:t>
      </w:r>
      <w:r>
        <w:rPr>
          <w:rFonts w:eastAsia="楷体_GB2312"/>
          <w:color w:val="000000" w:themeColor="text1"/>
          <w:sz w:val="24"/>
          <w14:textFill>
            <w14:solidFill>
              <w14:schemeClr w14:val="tx1"/>
            </w14:solidFill>
          </w14:textFill>
        </w:rPr>
        <w:t>”而言，系指与“贷款”有关的、为“委托人”的利益而设定的“附属担保权益”、与“贷款”相关的保险单和由此产生的保险权益</w:t>
      </w:r>
      <w:r>
        <w:rPr>
          <w:rFonts w:eastAsia="楷体_GB2312"/>
          <w:kern w:val="0"/>
          <w:sz w:val="24"/>
        </w:rPr>
        <w:t>以及</w:t>
      </w:r>
      <w:r>
        <w:rPr>
          <w:rFonts w:eastAsia="楷体_GB2312"/>
          <w:color w:val="000000" w:themeColor="text1"/>
          <w:sz w:val="24"/>
          <w14:textFill>
            <w14:solidFill>
              <w14:schemeClr w14:val="tx1"/>
            </w14:solidFill>
          </w14:textFill>
        </w:rPr>
        <w:t>“其他相关权益”</w:t>
      </w:r>
      <w:r>
        <w:rPr>
          <w:rFonts w:eastAsia="楷体_GB2312"/>
          <w:sz w:val="24"/>
        </w:rPr>
        <w:t>（如有）等。</w:t>
      </w:r>
    </w:p>
    <w:p w14:paraId="2E0A305B">
      <w:pPr>
        <w:tabs>
          <w:tab w:val="left" w:pos="425"/>
          <w:tab w:val="left" w:pos="851"/>
        </w:tabs>
        <w:spacing w:before="156" w:beforeLines="50" w:after="156" w:afterLines="50" w:line="360" w:lineRule="auto"/>
        <w:ind w:left="851"/>
        <w:rPr>
          <w:rFonts w:eastAsia="楷体_GB2312"/>
          <w:b/>
          <w:i/>
          <w:iCs/>
          <w:color w:val="FF0000"/>
          <w:sz w:val="24"/>
        </w:rPr>
      </w:pPr>
      <w:r>
        <w:rPr>
          <w:rFonts w:eastAsia="楷体_GB2312"/>
          <w:b/>
          <w:i/>
          <w:iCs/>
          <w:color w:val="FF0000"/>
          <w:sz w:val="24"/>
        </w:rPr>
        <w:t>【注：入池贷款的附属权益类型，可根据具体项目实际情况调整和确定。】</w:t>
      </w:r>
    </w:p>
    <w:p w14:paraId="57EDE1F5">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color w:val="000000" w:themeColor="text1"/>
          <w:sz w:val="24"/>
          <w14:textFill>
            <w14:solidFill>
              <w14:schemeClr w14:val="tx1"/>
            </w14:solidFill>
          </w14:textFill>
        </w:rPr>
        <w:t>附属担保权益</w:t>
      </w:r>
      <w:r>
        <w:rPr>
          <w:rFonts w:eastAsia="楷体_GB2312"/>
          <w:color w:val="000000" w:themeColor="text1"/>
          <w:sz w:val="24"/>
          <w14:textFill>
            <w14:solidFill>
              <w14:schemeClr w14:val="tx1"/>
            </w14:solidFill>
          </w14:textFill>
        </w:rPr>
        <w:t>：就每笔“</w:t>
      </w:r>
      <w:r>
        <w:rPr>
          <w:rFonts w:eastAsia="楷体_GB2312"/>
          <w:kern w:val="0"/>
          <w:sz w:val="24"/>
        </w:rPr>
        <w:t>贷款</w:t>
      </w:r>
      <w:r>
        <w:rPr>
          <w:rFonts w:eastAsia="楷体_GB2312"/>
          <w:color w:val="000000" w:themeColor="text1"/>
          <w:sz w:val="24"/>
          <w14:textFill>
            <w14:solidFill>
              <w14:schemeClr w14:val="tx1"/>
            </w14:solidFill>
          </w14:textFill>
        </w:rPr>
        <w:t>”而言，系指与“贷款”有关的、为“委托人”的利益而设定的担保，包括但不限于“抵押权”、“质权”、保证担保等担保权益</w:t>
      </w:r>
      <w:r>
        <w:rPr>
          <w:rFonts w:eastAsia="楷体_GB2312"/>
          <w:kern w:val="0"/>
          <w:sz w:val="24"/>
        </w:rPr>
        <w:t>。</w:t>
      </w:r>
    </w:p>
    <w:p w14:paraId="5C02581B">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color w:val="000000" w:themeColor="text1"/>
          <w:kern w:val="0"/>
          <w:sz w:val="24"/>
          <w14:textFill>
            <w14:solidFill>
              <w14:schemeClr w14:val="tx1"/>
            </w14:solidFill>
          </w14:textFill>
        </w:rPr>
        <w:t>其他相关权益</w:t>
      </w:r>
      <w:r>
        <w:rPr>
          <w:rFonts w:eastAsia="楷体_GB2312"/>
          <w:color w:val="000000" w:themeColor="text1"/>
          <w:kern w:val="0"/>
          <w:sz w:val="24"/>
          <w14:textFill>
            <w14:solidFill>
              <w14:schemeClr w14:val="tx1"/>
            </w14:solidFill>
          </w14:textFill>
        </w:rPr>
        <w:t>：系指“初始起算日”前，“委托人”（及其前手）因管理、处置需要可能已与“信贷资产清单”中部分“义务人”达成包括但不限于重组协议、和解协议、以物抵债协议，或接受法院/仲裁机构裁定以物抵债，而这些协议并未履行完毕或“抵债资产”未完成过户，或者因解除</w:t>
      </w:r>
      <w:r>
        <w:rPr>
          <w:rFonts w:eastAsia="楷体_GB2312"/>
          <w:sz w:val="24"/>
        </w:rPr>
        <w:t>“《借款合同》”</w:t>
      </w:r>
      <w:r>
        <w:rPr>
          <w:rFonts w:eastAsia="楷体_GB2312"/>
          <w:color w:val="000000" w:themeColor="text1"/>
          <w:kern w:val="0"/>
          <w:sz w:val="24"/>
          <w14:textFill>
            <w14:solidFill>
              <w14:schemeClr w14:val="tx1"/>
            </w14:solidFill>
          </w14:textFill>
        </w:rPr>
        <w:t>而取得法定的或者法院/仲裁机构裁定的债权，因此，“受托人”受让的对该等“义务人”的债权，已从原始的</w:t>
      </w:r>
      <w:r>
        <w:rPr>
          <w:rFonts w:eastAsia="楷体_GB2312"/>
          <w:sz w:val="24"/>
        </w:rPr>
        <w:t>“《借款合同》”</w:t>
      </w:r>
      <w:r>
        <w:rPr>
          <w:rFonts w:eastAsia="楷体_GB2312"/>
          <w:color w:val="000000" w:themeColor="text1"/>
          <w:kern w:val="0"/>
          <w:sz w:val="24"/>
          <w14:textFill>
            <w14:solidFill>
              <w14:schemeClr w14:val="tx1"/>
            </w14:solidFill>
          </w14:textFill>
        </w:rPr>
        <w:t>、“《担保合同》”（如有）项下的债权，全部或部分转化为前述协议项下或法院/仲裁机构生效裁定所对应的权利。</w:t>
      </w:r>
    </w:p>
    <w:p w14:paraId="60FAF76C">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color w:val="000000" w:themeColor="text1"/>
          <w:sz w:val="24"/>
          <w14:textFill>
            <w14:solidFill>
              <w14:schemeClr w14:val="tx1"/>
            </w14:solidFill>
          </w14:textFill>
        </w:rPr>
        <w:t>抵债资产</w:t>
      </w:r>
      <w:r>
        <w:rPr>
          <w:rFonts w:eastAsia="楷体_GB2312"/>
          <w:b/>
          <w:color w:val="000000" w:themeColor="text1"/>
          <w:sz w:val="24"/>
          <w14:textFill>
            <w14:solidFill>
              <w14:schemeClr w14:val="tx1"/>
            </w14:solidFill>
          </w14:textFill>
        </w:rPr>
        <w:t>：</w:t>
      </w:r>
      <w:r>
        <w:rPr>
          <w:rFonts w:eastAsia="楷体_GB2312"/>
          <w:color w:val="000000" w:themeColor="text1"/>
          <w:sz w:val="24"/>
          <w14:textFill>
            <w14:solidFill>
              <w14:schemeClr w14:val="tx1"/>
            </w14:solidFill>
          </w14:textFill>
        </w:rPr>
        <w:t>就“信贷资产清单”所列的每一项“</w:t>
      </w:r>
      <w:r>
        <w:rPr>
          <w:rFonts w:eastAsia="楷体_GB2312"/>
          <w:kern w:val="0"/>
          <w:sz w:val="24"/>
        </w:rPr>
        <w:t>贷款</w:t>
      </w:r>
      <w:r>
        <w:rPr>
          <w:rFonts w:eastAsia="楷体_GB2312"/>
          <w:color w:val="000000" w:themeColor="text1"/>
          <w:sz w:val="24"/>
          <w14:textFill>
            <w14:solidFill>
              <w14:schemeClr w14:val="tx1"/>
            </w14:solidFill>
          </w14:textFill>
        </w:rPr>
        <w:t>”而言，</w:t>
      </w:r>
      <w:r>
        <w:rPr>
          <w:rFonts w:eastAsia="楷体_GB2312"/>
          <w:color w:val="000000" w:themeColor="text1"/>
          <w:kern w:val="0"/>
          <w:sz w:val="24"/>
          <w14:textFill>
            <w14:solidFill>
              <w14:schemeClr w14:val="tx1"/>
            </w14:solidFill>
          </w14:textFill>
        </w:rPr>
        <w:t>具体包括</w:t>
      </w:r>
      <w:r>
        <w:rPr>
          <w:rFonts w:eastAsia="楷体_GB2312"/>
          <w:color w:val="000000" w:themeColor="text1"/>
          <w:sz w:val="24"/>
          <w14:textFill>
            <w14:solidFill>
              <w14:schemeClr w14:val="tx1"/>
            </w14:solidFill>
          </w14:textFill>
        </w:rPr>
        <w:t>与“贷款”相关的以下各项：(a)转让给“委托人”（如为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，指“受托人”或“贷款服务机构”）所有的，和/或以“委托人”（如为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，指“受托人”或“贷款服务机构”）的名义持有的，用以部分或全部清偿（或其他偿还方式）“</w:t>
      </w:r>
      <w:r>
        <w:rPr>
          <w:rFonts w:eastAsia="楷体_GB2312"/>
          <w:bCs/>
          <w:color w:val="000000" w:themeColor="text1"/>
          <w:sz w:val="24"/>
          <w14:textFill>
            <w14:solidFill>
              <w14:schemeClr w14:val="tx1"/>
            </w14:solidFill>
          </w14:textFill>
        </w:rPr>
        <w:t>贷款</w:t>
      </w:r>
      <w:r>
        <w:rPr>
          <w:rFonts w:eastAsia="楷体_GB2312"/>
          <w:color w:val="000000" w:themeColor="text1"/>
          <w:sz w:val="24"/>
          <w14:textFill>
            <w14:solidFill>
              <w14:schemeClr w14:val="tx1"/>
            </w14:solidFill>
          </w14:textFill>
        </w:rPr>
        <w:t>”的财产或财产权利；(b)根据“委托人”（如为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与“借款人”、“抵押人”、“保证人”、“出质人”或其他“义务人”达成的和解协议或类似安排，上述“借款人”、“抵押人”、“保证人”、“出质人”或其他“义务人”已同意的转移给“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，指“受托人”或“贷款服务机构”）用以偿还部分或全部“</w:t>
      </w:r>
      <w:r>
        <w:rPr>
          <w:rFonts w:eastAsia="楷体_GB2312"/>
          <w:bCs/>
          <w:color w:val="000000" w:themeColor="text1"/>
          <w:sz w:val="24"/>
          <w14:textFill>
            <w14:solidFill>
              <w14:schemeClr w14:val="tx1"/>
            </w14:solidFill>
          </w14:textFill>
        </w:rPr>
        <w:t>贷款</w:t>
      </w:r>
      <w:r>
        <w:rPr>
          <w:rFonts w:eastAsia="楷体_GB2312"/>
          <w:color w:val="000000" w:themeColor="text1"/>
          <w:sz w:val="24"/>
          <w14:textFill>
            <w14:solidFill>
              <w14:schemeClr w14:val="tx1"/>
            </w14:solidFill>
          </w14:textFill>
        </w:rPr>
        <w:t>”的财产或财产权利；或者(c)在“委托人”（如为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，指“受托人”或“贷款服务机构”）对“借款人”、“抵押人”、“保证人”、“出质人”或其他“义务人”提起的旨在寻求某笔“</w:t>
      </w:r>
      <w:r>
        <w:rPr>
          <w:rFonts w:eastAsia="楷体_GB2312"/>
          <w:bCs/>
          <w:color w:val="000000" w:themeColor="text1"/>
          <w:sz w:val="24"/>
          <w14:textFill>
            <w14:solidFill>
              <w14:schemeClr w14:val="tx1"/>
            </w14:solidFill>
          </w14:textFill>
        </w:rPr>
        <w:t>贷款</w:t>
      </w:r>
      <w:r>
        <w:rPr>
          <w:rFonts w:eastAsia="楷体_GB2312"/>
          <w:color w:val="000000" w:themeColor="text1"/>
          <w:sz w:val="24"/>
          <w14:textFill>
            <w14:solidFill>
              <w14:schemeClr w14:val="tx1"/>
            </w14:solidFill>
          </w14:textFill>
        </w:rPr>
        <w:t>”项下债务清偿的诉讼或仲裁中，终审的生效法院判决或仲裁裁决，判令“借款人”、“抵押人”、“保证人”、“出质人”或其他“义务人”向“委托人”（如为</w:t>
      </w:r>
      <w:r>
        <w:rPr>
          <w:rFonts w:eastAsia="楷体_GB2312"/>
          <w:sz w:val="24"/>
        </w:rPr>
        <w:t>“信托生效日”（含该日）后</w:t>
      </w:r>
      <w:r>
        <w:rPr>
          <w:rFonts w:eastAsia="楷体_GB2312"/>
          <w:color w:val="000000" w:themeColor="text1"/>
          <w:sz w:val="24"/>
          <w14:textFill>
            <w14:solidFill>
              <w14:schemeClr w14:val="tx1"/>
            </w14:solidFill>
          </w14:textFill>
        </w:rPr>
        <w:t>，指“受托人”或“贷款服务机构”）转移其持有的特定财产或财产权利，以全部或部分清偿“</w:t>
      </w:r>
      <w:r>
        <w:rPr>
          <w:rFonts w:eastAsia="楷体_GB2312"/>
          <w:bCs/>
          <w:color w:val="000000" w:themeColor="text1"/>
          <w:sz w:val="24"/>
          <w14:textFill>
            <w14:solidFill>
              <w14:schemeClr w14:val="tx1"/>
            </w14:solidFill>
          </w14:textFill>
        </w:rPr>
        <w:t>贷款</w:t>
      </w:r>
      <w:r>
        <w:rPr>
          <w:rFonts w:eastAsia="楷体_GB2312"/>
          <w:color w:val="000000" w:themeColor="text1"/>
          <w:sz w:val="24"/>
          <w14:textFill>
            <w14:solidFill>
              <w14:schemeClr w14:val="tx1"/>
            </w14:solidFill>
          </w14:textFill>
        </w:rPr>
        <w:t>”。</w:t>
      </w:r>
    </w:p>
    <w:p w14:paraId="16F2CE7E">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sz w:val="24"/>
        </w:rPr>
        <w:t>信贷资产：</w:t>
      </w:r>
      <w:r>
        <w:rPr>
          <w:rFonts w:eastAsia="楷体_GB2312"/>
          <w:sz w:val="24"/>
        </w:rPr>
        <w:t>系指“信贷资产清单”所列的、由“委托人”在“信托财产交付日”委托给“受托人”设立“信托”的债权资产，包括“委托人”依据“《借款合同》”对“借款人”所形成的“贷款”债权以及与前述“贷款”债权相对应的“附属权益”（如有）。其中，“委托人”依据</w:t>
      </w:r>
      <w:r>
        <w:rPr>
          <w:rFonts w:eastAsia="楷体_GB2312"/>
          <w:kern w:val="0"/>
          <w:sz w:val="24"/>
        </w:rPr>
        <w:t>“《借款合同》”</w:t>
      </w:r>
      <w:r>
        <w:rPr>
          <w:rFonts w:eastAsia="楷体_GB2312"/>
          <w:sz w:val="24"/>
        </w:rPr>
        <w:t>对“借款人”所形成的“贷款”债权包括：自“初始起算日”（含该日）起存在的“贷款”项下的</w:t>
      </w:r>
      <w:r>
        <w:rPr>
          <w:rFonts w:eastAsia="楷体_GB2312"/>
          <w:bCs/>
          <w:sz w:val="24"/>
        </w:rPr>
        <w:t>“</w:t>
      </w:r>
      <w:r>
        <w:rPr>
          <w:rFonts w:eastAsia="楷体_GB2312"/>
          <w:sz w:val="24"/>
        </w:rPr>
        <w:t>未偿本金余额</w:t>
      </w:r>
      <w:r>
        <w:rPr>
          <w:rFonts w:eastAsia="楷体_GB2312"/>
          <w:bCs/>
          <w:sz w:val="24"/>
        </w:rPr>
        <w:t>”</w:t>
      </w:r>
      <w:r>
        <w:rPr>
          <w:rFonts w:eastAsia="楷体_GB2312"/>
          <w:sz w:val="24"/>
        </w:rPr>
        <w:t>和未偿利息、罚息（如有）、复利（如有）、违约金（如有），以及</w:t>
      </w:r>
      <w:r>
        <w:rPr>
          <w:rFonts w:eastAsia="楷体_GB2312"/>
          <w:bCs/>
          <w:sz w:val="24"/>
        </w:rPr>
        <w:t>“贷款”项下其他应由“借款人”向“委托人”偿还的款项</w:t>
      </w:r>
      <w:r>
        <w:rPr>
          <w:rFonts w:eastAsia="楷体_GB2312"/>
          <w:sz w:val="24"/>
        </w:rPr>
        <w:t>。</w:t>
      </w:r>
    </w:p>
    <w:p w14:paraId="7BE86C98">
      <w:pPr>
        <w:tabs>
          <w:tab w:val="left" w:pos="425"/>
          <w:tab w:val="left" w:pos="851"/>
        </w:tabs>
        <w:spacing w:before="156" w:beforeLines="50" w:after="156" w:afterLines="50" w:line="360" w:lineRule="auto"/>
        <w:ind w:left="851"/>
        <w:rPr>
          <w:rFonts w:eastAsia="楷体_GB2312"/>
          <w:b/>
          <w:i/>
          <w:iCs/>
          <w:color w:val="FF0000"/>
          <w:sz w:val="24"/>
        </w:rPr>
      </w:pPr>
      <w:r>
        <w:rPr>
          <w:rFonts w:eastAsia="楷体_GB2312"/>
          <w:b/>
          <w:i/>
          <w:iCs/>
          <w:color w:val="FF0000"/>
          <w:sz w:val="24"/>
        </w:rPr>
        <w:t>【注：</w:t>
      </w:r>
      <w:r>
        <w:rPr>
          <w:rFonts w:eastAsia="楷体_GB2312"/>
          <w:b/>
          <w:bCs/>
          <w:i/>
          <w:color w:val="FF0000"/>
          <w:sz w:val="24"/>
        </w:rPr>
        <w:t>1、初始起算日（含该日）是否含该日可根据项目实际情况进行调整。2、初始起算日至信托财产交付日期间收到的相关利息等款项是否入池可根据项目实际情况进行调整。</w:t>
      </w:r>
      <w:r>
        <w:rPr>
          <w:rFonts w:eastAsia="楷体_GB2312"/>
          <w:b/>
          <w:i/>
          <w:iCs/>
          <w:color w:val="FF0000"/>
          <w:sz w:val="24"/>
        </w:rPr>
        <w:t>】</w:t>
      </w:r>
    </w:p>
    <w:p w14:paraId="1E9B0599">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sz w:val="24"/>
        </w:rPr>
        <w:t>信贷资产清单</w:t>
      </w:r>
      <w:r>
        <w:rPr>
          <w:rFonts w:eastAsia="楷体_GB2312"/>
          <w:sz w:val="24"/>
        </w:rPr>
        <w:t>：就“委托人”信托予“受托人”的“信贷资产”而言，系指由“委托人”准备的、截至“初始起算日”【</w:t>
      </w:r>
      <w:r>
        <w:rPr>
          <w:rFonts w:eastAsia="楷体_GB2312"/>
          <w:bCs/>
          <w:i/>
          <w:iCs/>
          <w:sz w:val="24"/>
        </w:rPr>
        <w:t>具体时点</w:t>
      </w:r>
      <w:r>
        <w:rPr>
          <w:rFonts w:eastAsia="楷体_GB2312"/>
          <w:sz w:val="24"/>
        </w:rPr>
        <w:t>】的、有关每笔“信贷资产”相关信息的一览表（该等信息的形式和内容应为“受托人”所接受）。</w:t>
      </w:r>
      <w:r>
        <w:rPr>
          <w:rFonts w:eastAsia="楷体_GB2312"/>
          <w:sz w:val="24"/>
          <w:highlight w:val="yellow"/>
        </w:rPr>
        <w:t xml:space="preserve"> </w:t>
      </w:r>
      <w:r>
        <w:rPr>
          <w:rFonts w:eastAsia="楷体_GB2312"/>
          <w:sz w:val="24"/>
        </w:rPr>
        <w:t>“信贷资产清单”应载明的具体信息见“《信托合同》”</w:t>
      </w:r>
      <w:r>
        <w:rPr>
          <w:rFonts w:hint="eastAsia" w:eastAsia="楷体_GB2312"/>
          <w:sz w:val="24"/>
        </w:rPr>
        <w:t>【</w:t>
      </w:r>
      <w:r>
        <w:rPr>
          <w:rFonts w:eastAsia="楷体_GB2312"/>
          <w:i/>
          <w:iCs/>
          <w:sz w:val="24"/>
        </w:rPr>
        <w:t>附件一</w:t>
      </w:r>
      <w:r>
        <w:rPr>
          <w:rFonts w:hint="eastAsia" w:eastAsia="楷体_GB2312"/>
          <w:b/>
          <w:bCs/>
          <w:sz w:val="24"/>
        </w:rPr>
        <w:t>】</w:t>
      </w:r>
      <w:r>
        <w:rPr>
          <w:rFonts w:eastAsia="楷体_GB2312"/>
          <w:sz w:val="24"/>
        </w:rPr>
        <w:t>。</w:t>
      </w:r>
    </w:p>
    <w:p w14:paraId="3C327428">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bCs/>
          <w:sz w:val="24"/>
        </w:rPr>
        <w:t>合格标准：</w:t>
      </w:r>
      <w:r>
        <w:rPr>
          <w:rFonts w:eastAsia="楷体_GB2312"/>
          <w:bCs/>
          <w:sz w:val="24"/>
        </w:rPr>
        <w:t>就</w:t>
      </w:r>
      <w:r>
        <w:rPr>
          <w:rFonts w:eastAsia="楷体_GB2312"/>
          <w:sz w:val="24"/>
        </w:rPr>
        <w:t>每一笔“贷款”及其“附属权益”而言，系指在“初始起算日”【</w:t>
      </w:r>
      <w:r>
        <w:rPr>
          <w:rFonts w:eastAsia="楷体_GB2312"/>
          <w:bCs/>
          <w:i/>
          <w:iCs/>
          <w:sz w:val="24"/>
        </w:rPr>
        <w:t>具体时点</w:t>
      </w:r>
      <w:r>
        <w:rPr>
          <w:rFonts w:eastAsia="楷体_GB2312"/>
          <w:sz w:val="24"/>
        </w:rPr>
        <w:t>】和“信托财产交付日”，或在以下各项具体列明的时间：</w:t>
      </w:r>
    </w:p>
    <w:p w14:paraId="769EF77F">
      <w:pPr>
        <w:numPr>
          <w:ilvl w:val="0"/>
          <w:numId w:val="7"/>
        </w:numPr>
        <w:spacing w:before="156" w:beforeLines="50" w:after="156" w:afterLines="50" w:line="360" w:lineRule="auto"/>
        <w:rPr>
          <w:rFonts w:eastAsia="楷体_GB2312"/>
          <w:sz w:val="24"/>
        </w:rPr>
      </w:pPr>
      <w:r>
        <w:rPr>
          <w:rFonts w:eastAsia="楷体_GB2312"/>
          <w:sz w:val="24"/>
        </w:rPr>
        <w:t>“信贷资产”中包含的各笔</w:t>
      </w:r>
      <w:r>
        <w:rPr>
          <w:rFonts w:eastAsia="楷体_GB2312"/>
          <w:bCs/>
          <w:sz w:val="24"/>
        </w:rPr>
        <w:t>“贷款”</w:t>
      </w:r>
      <w:r>
        <w:rPr>
          <w:rFonts w:eastAsia="楷体_GB2312"/>
          <w:sz w:val="24"/>
        </w:rPr>
        <w:t>全部为“【发起机构简称】”合法所有的微小企业贷款</w:t>
      </w:r>
      <w:r>
        <w:rPr>
          <w:rFonts w:hint="eastAsia" w:eastAsia="楷体_GB2312"/>
          <w:sz w:val="24"/>
        </w:rPr>
        <w:t>或个人经营贷款</w:t>
      </w:r>
      <w:r>
        <w:rPr>
          <w:rFonts w:eastAsia="楷体_GB2312"/>
          <w:kern w:val="0"/>
          <w:sz w:val="24"/>
        </w:rPr>
        <w:t>，不含银团贷款（为避免歧义，银团贷款不包括“【发起机构简称】”行内分支行组建的行内银团贷款）</w:t>
      </w:r>
      <w:r>
        <w:rPr>
          <w:rFonts w:eastAsia="楷体_GB2312"/>
          <w:sz w:val="24"/>
        </w:rPr>
        <w:t>；</w:t>
      </w:r>
    </w:p>
    <w:p w14:paraId="4B89C297">
      <w:pPr>
        <w:numPr>
          <w:ilvl w:val="0"/>
          <w:numId w:val="7"/>
        </w:numPr>
        <w:tabs>
          <w:tab w:val="left" w:pos="2356"/>
        </w:tabs>
        <w:spacing w:before="156" w:beforeLines="50" w:after="156" w:afterLines="50" w:line="360" w:lineRule="auto"/>
        <w:rPr>
          <w:rFonts w:eastAsia="楷体_GB2312"/>
          <w:sz w:val="24"/>
        </w:rPr>
      </w:pPr>
      <w:r>
        <w:rPr>
          <w:rFonts w:eastAsia="楷体_GB2312"/>
          <w:sz w:val="24"/>
        </w:rPr>
        <w:t>每笔“贷款”对应的全部“《借款合同》”、“《担保合同》”（如有）适用法律为“中国法律”，在“中国法律”项下合法有效，且其项下的“抵押权”（如有）、“质权”（如有）、保证担保（如有）均合法有效，并构成相关“借款人”、“担保人”（如有）合法、有效和有约束力的义务，债权人可根据其条款向相关“借款人”、“担保人”（如有）主张权利；</w:t>
      </w:r>
      <w:r>
        <w:rPr>
          <w:rFonts w:eastAsia="楷体_GB2312"/>
          <w:color w:val="000000" w:themeColor="text1"/>
          <w:sz w:val="24"/>
          <w14:textFill>
            <w14:solidFill>
              <w14:schemeClr w14:val="tx1"/>
            </w14:solidFill>
          </w14:textFill>
        </w:rPr>
        <w:t>如果“</w:t>
      </w:r>
      <w:r>
        <w:rPr>
          <w:rFonts w:eastAsia="楷体_GB2312"/>
          <w:sz w:val="24"/>
        </w:rPr>
        <w:t>【发起机构简称】</w:t>
      </w:r>
      <w:r>
        <w:rPr>
          <w:rFonts w:eastAsia="楷体_GB2312"/>
          <w:color w:val="000000" w:themeColor="text1"/>
          <w:sz w:val="24"/>
          <w14:textFill>
            <w14:solidFill>
              <w14:schemeClr w14:val="tx1"/>
            </w14:solidFill>
          </w14:textFill>
        </w:rPr>
        <w:t>”已主张解除或生效裁判文书已确认解除某笔</w:t>
      </w:r>
      <w:r>
        <w:rPr>
          <w:rFonts w:eastAsia="楷体_GB2312"/>
          <w:sz w:val="24"/>
        </w:rPr>
        <w:t>“《借款合同》”</w:t>
      </w:r>
      <w:r>
        <w:rPr>
          <w:rFonts w:eastAsia="楷体_GB2312"/>
          <w:color w:val="000000" w:themeColor="text1"/>
          <w:sz w:val="24"/>
          <w14:textFill>
            <w14:solidFill>
              <w14:schemeClr w14:val="tx1"/>
            </w14:solidFill>
          </w14:textFill>
        </w:rPr>
        <w:t>的，相应</w:t>
      </w:r>
      <w:r>
        <w:rPr>
          <w:rFonts w:eastAsia="楷体_GB2312"/>
          <w:sz w:val="24"/>
        </w:rPr>
        <w:t>“《借款合同》”</w:t>
      </w:r>
      <w:r>
        <w:rPr>
          <w:rFonts w:eastAsia="楷体_GB2312"/>
          <w:color w:val="000000" w:themeColor="text1"/>
          <w:sz w:val="24"/>
          <w14:textFill>
            <w14:solidFill>
              <w14:schemeClr w14:val="tx1"/>
            </w14:solidFill>
          </w14:textFill>
        </w:rPr>
        <w:t>被解除之前应满足前述条件；</w:t>
      </w:r>
    </w:p>
    <w:p w14:paraId="7EFAF3A4">
      <w:pPr>
        <w:numPr>
          <w:ilvl w:val="0"/>
          <w:numId w:val="7"/>
        </w:numPr>
        <w:tabs>
          <w:tab w:val="left" w:pos="2356"/>
        </w:tabs>
        <w:spacing w:before="156" w:beforeLines="50" w:after="156" w:afterLines="50" w:line="360" w:lineRule="auto"/>
        <w:rPr>
          <w:rFonts w:eastAsia="楷体_GB2312"/>
          <w:sz w:val="24"/>
        </w:rPr>
      </w:pPr>
      <w:r>
        <w:rPr>
          <w:rFonts w:eastAsia="楷体_GB2312"/>
          <w:sz w:val="24"/>
        </w:rPr>
        <w:t>每笔“贷款”项下债权均可进行合法有效的转让；每份“《借款合同》”及其“《担保合同》”（如有）中均无禁止转让或转让须征得“借款人”或“担保人”（如有）同意的约定；</w:t>
      </w:r>
    </w:p>
    <w:p w14:paraId="7C61E425">
      <w:pPr>
        <w:numPr>
          <w:ilvl w:val="0"/>
          <w:numId w:val="7"/>
        </w:numPr>
        <w:tabs>
          <w:tab w:val="left" w:pos="2356"/>
        </w:tabs>
        <w:spacing w:before="156" w:beforeLines="50" w:after="156" w:afterLines="50" w:line="360" w:lineRule="auto"/>
        <w:rPr>
          <w:rFonts w:eastAsia="楷体_GB2312"/>
          <w:sz w:val="24"/>
        </w:rPr>
      </w:pPr>
      <w:r>
        <w:rPr>
          <w:rFonts w:eastAsia="楷体_GB2312"/>
          <w:sz w:val="24"/>
        </w:rPr>
        <w:t>“贷款”已全部发放完毕，且每笔“贷款”的未偿款项（包括但不限于未偿本金、利息、罚息（如有）、复利（如有）、违约金（如有）、损害赔偿金（如有）等）全部入池；</w:t>
      </w:r>
    </w:p>
    <w:p w14:paraId="527A4C29">
      <w:pPr>
        <w:pStyle w:val="41"/>
        <w:widowControl w:val="0"/>
        <w:numPr>
          <w:ilvl w:val="0"/>
          <w:numId w:val="7"/>
        </w:numPr>
        <w:spacing w:before="156" w:beforeLines="50" w:after="156" w:afterLines="50" w:line="360" w:lineRule="auto"/>
        <w:rPr>
          <w:rFonts w:eastAsia="楷体_GB2312"/>
          <w:szCs w:val="24"/>
          <w:lang w:eastAsia="zh-CN"/>
        </w:rPr>
      </w:pPr>
      <w:r>
        <w:rPr>
          <w:rFonts w:eastAsia="楷体_GB2312"/>
          <w:szCs w:val="24"/>
          <w:lang w:eastAsia="zh-CN"/>
        </w:rPr>
        <w:t>“贷款”发放时，其本金金额不少于人民币【】万元且不超过人民币【】万元；</w:t>
      </w:r>
    </w:p>
    <w:p w14:paraId="38C8B050">
      <w:pPr>
        <w:pStyle w:val="41"/>
        <w:widowControl w:val="0"/>
        <w:numPr>
          <w:ilvl w:val="0"/>
          <w:numId w:val="7"/>
        </w:numPr>
        <w:tabs>
          <w:tab w:val="left" w:pos="2356"/>
        </w:tabs>
        <w:spacing w:before="156" w:beforeLines="50" w:after="156" w:afterLines="50" w:line="360" w:lineRule="auto"/>
        <w:rPr>
          <w:rFonts w:eastAsia="楷体_GB2312"/>
          <w:lang w:eastAsia="zh-CN"/>
        </w:rPr>
      </w:pPr>
      <w:r>
        <w:rPr>
          <w:rFonts w:eastAsia="楷体_GB2312"/>
          <w:lang w:eastAsia="zh-CN"/>
        </w:rPr>
        <w:t>“借款人”系依据“中国法律”在中国成立并合法有效存续的法人、其他组织或在“《借款合同》”签署时为年满18周岁的中国公民或永久居民；</w:t>
      </w:r>
    </w:p>
    <w:p w14:paraId="0620CABA">
      <w:pPr>
        <w:numPr>
          <w:ilvl w:val="0"/>
          <w:numId w:val="7"/>
        </w:numPr>
        <w:spacing w:before="156" w:beforeLines="50" w:after="156" w:afterLines="50" w:line="360" w:lineRule="auto"/>
        <w:rPr>
          <w:rFonts w:eastAsia="楷体_GB2312"/>
          <w:sz w:val="24"/>
        </w:rPr>
      </w:pPr>
      <w:r>
        <w:rPr>
          <w:rFonts w:eastAsia="楷体_GB2312"/>
          <w:sz w:val="24"/>
        </w:rPr>
        <w:t>“担保人”（如有）为依照“中国法律”在中国成立并合法存续的法人、其他组织或在“《担保合同》”签署时为年满18周岁的中国公民或永久居民；“担保人”为法人、其他组织的，不属于国家机关；</w:t>
      </w:r>
    </w:p>
    <w:p w14:paraId="330DF6FF">
      <w:pPr>
        <w:numPr>
          <w:ilvl w:val="0"/>
          <w:numId w:val="7"/>
        </w:numPr>
        <w:tabs>
          <w:tab w:val="left" w:pos="2356"/>
        </w:tabs>
        <w:spacing w:before="156" w:beforeLines="50" w:after="156" w:afterLines="50" w:line="360" w:lineRule="auto"/>
        <w:rPr>
          <w:rFonts w:eastAsia="楷体_GB2312"/>
          <w:sz w:val="24"/>
        </w:rPr>
      </w:pPr>
      <w:r>
        <w:rPr>
          <w:rFonts w:eastAsia="楷体_GB2312"/>
          <w:sz w:val="24"/>
        </w:rPr>
        <w:t>“</w:t>
      </w:r>
      <w:r>
        <w:rPr>
          <w:rFonts w:hint="eastAsia" w:eastAsia="楷体_GB2312"/>
          <w:sz w:val="24"/>
        </w:rPr>
        <w:t>贷款</w:t>
      </w:r>
      <w:r>
        <w:rPr>
          <w:rFonts w:eastAsia="楷体_GB2312"/>
          <w:sz w:val="24"/>
        </w:rPr>
        <w:t>”不涉及军工或国家机密；</w:t>
      </w:r>
    </w:p>
    <w:p w14:paraId="39C95BAB">
      <w:pPr>
        <w:numPr>
          <w:ilvl w:val="0"/>
          <w:numId w:val="7"/>
        </w:numPr>
        <w:tabs>
          <w:tab w:val="left" w:pos="2356"/>
        </w:tabs>
        <w:spacing w:before="156" w:beforeLines="50" w:after="156" w:afterLines="50" w:line="360" w:lineRule="auto"/>
        <w:rPr>
          <w:rFonts w:eastAsia="楷体_GB2312"/>
          <w:sz w:val="24"/>
        </w:rPr>
      </w:pPr>
      <w:r>
        <w:rPr>
          <w:rFonts w:eastAsia="楷体_GB2312"/>
          <w:sz w:val="24"/>
        </w:rPr>
        <w:t>“借款人”对“信贷资产”不享有任何主张扣减或减免应付款项的权利（但法定抵销权除外）；</w:t>
      </w:r>
    </w:p>
    <w:p w14:paraId="7CCE9073">
      <w:pPr>
        <w:pStyle w:val="54"/>
        <w:numPr>
          <w:ilvl w:val="0"/>
          <w:numId w:val="7"/>
        </w:numPr>
        <w:tabs>
          <w:tab w:val="left" w:pos="2356"/>
        </w:tabs>
        <w:spacing w:before="156" w:beforeLines="50" w:after="156" w:afterLines="50" w:line="360" w:lineRule="auto"/>
        <w:ind w:firstLineChars="0"/>
        <w:rPr>
          <w:rFonts w:eastAsia="楷体_GB2312"/>
          <w:sz w:val="24"/>
        </w:rPr>
      </w:pPr>
      <w:bookmarkStart w:id="17" w:name="_Hlk55335916"/>
      <w:bookmarkStart w:id="18" w:name="_Hlk55335903"/>
      <w:r>
        <w:rPr>
          <w:rFonts w:eastAsia="楷体_GB2312"/>
          <w:sz w:val="24"/>
        </w:rPr>
        <w:t>“信贷资产”所包含的每笔“贷款”的到期日不晚于【】年【】月【】日；</w:t>
      </w:r>
    </w:p>
    <w:bookmarkEnd w:id="17"/>
    <w:p w14:paraId="1B888A1C">
      <w:pPr>
        <w:numPr>
          <w:ilvl w:val="0"/>
          <w:numId w:val="7"/>
        </w:numPr>
        <w:tabs>
          <w:tab w:val="left" w:pos="2356"/>
        </w:tabs>
        <w:spacing w:before="156" w:beforeLines="50" w:after="156" w:afterLines="50" w:line="360" w:lineRule="auto"/>
        <w:rPr>
          <w:rFonts w:eastAsia="楷体_GB2312"/>
          <w:sz w:val="24"/>
        </w:rPr>
      </w:pPr>
      <w:r>
        <w:rPr>
          <w:rFonts w:eastAsia="楷体_GB2312"/>
          <w:sz w:val="24"/>
        </w:rPr>
        <w:t>“资产池”中对同一“借款人”的全部“贷款”的“未偿本金余额”不超过【】万元（含本数）人民币，或同一“借款人”入池全部“贷款”的“未偿本金余额”在“资产池”全部“贷款”的“未偿本金余额”总和中的占比不超过【】%；</w:t>
      </w:r>
    </w:p>
    <w:bookmarkEnd w:id="18"/>
    <w:p w14:paraId="6027113D">
      <w:pPr>
        <w:numPr>
          <w:ilvl w:val="0"/>
          <w:numId w:val="7"/>
        </w:numPr>
        <w:tabs>
          <w:tab w:val="left" w:pos="2356"/>
        </w:tabs>
        <w:spacing w:before="156" w:beforeLines="50" w:after="156" w:afterLines="50" w:line="360" w:lineRule="auto"/>
        <w:rPr>
          <w:rFonts w:eastAsia="楷体_GB2312"/>
          <w:b/>
          <w:bCs/>
          <w:sz w:val="24"/>
        </w:rPr>
      </w:pPr>
      <w:r>
        <w:rPr>
          <w:rFonts w:eastAsia="楷体_GB2312"/>
          <w:sz w:val="24"/>
        </w:rPr>
        <w:t>“信贷资产”所包含的全部“贷款”均未涉及未决的诉讼或仲裁；</w:t>
      </w:r>
    </w:p>
    <w:p w14:paraId="55CD2C6C">
      <w:pPr>
        <w:numPr>
          <w:ilvl w:val="0"/>
          <w:numId w:val="7"/>
        </w:numPr>
        <w:tabs>
          <w:tab w:val="left" w:pos="2356"/>
        </w:tabs>
        <w:spacing w:before="156" w:beforeLines="50" w:after="156" w:afterLines="50" w:line="360" w:lineRule="auto"/>
        <w:rPr>
          <w:rFonts w:eastAsia="楷体_GB2312"/>
          <w:sz w:val="24"/>
        </w:rPr>
      </w:pPr>
      <w:r>
        <w:rPr>
          <w:rFonts w:eastAsia="楷体_GB2312"/>
          <w:sz w:val="24"/>
        </w:rPr>
        <w:t>“信贷资产”中每笔“贷款”的质量应为“委托人”制定的信贷资产质量五级分类中的正常类资产；</w:t>
      </w:r>
    </w:p>
    <w:p w14:paraId="3B2E0E37">
      <w:pPr>
        <w:numPr>
          <w:ilvl w:val="0"/>
          <w:numId w:val="7"/>
        </w:numPr>
        <w:tabs>
          <w:tab w:val="left" w:pos="2356"/>
        </w:tabs>
        <w:spacing w:before="156" w:beforeLines="50" w:after="156" w:afterLines="50" w:line="360" w:lineRule="auto"/>
        <w:rPr>
          <w:rFonts w:eastAsia="楷体_GB2312"/>
          <w:sz w:val="24"/>
        </w:rPr>
      </w:pPr>
      <w:bookmarkStart w:id="19" w:name="_Hlk29667291"/>
      <w:r>
        <w:rPr>
          <w:rFonts w:eastAsia="楷体_GB2312"/>
          <w:color w:val="000000"/>
          <w:sz w:val="24"/>
        </w:rPr>
        <w:t>除非“借款人”全部提前偿还了所有的应付款项（包括现时的和将来的），任何“借款人”均无权选择终止该“《借款合同》”</w:t>
      </w:r>
      <w:bookmarkEnd w:id="19"/>
      <w:r>
        <w:rPr>
          <w:rFonts w:eastAsia="楷体_GB2312"/>
          <w:sz w:val="24"/>
        </w:rPr>
        <w:t>；</w:t>
      </w:r>
    </w:p>
    <w:p w14:paraId="70E42BCB">
      <w:pPr>
        <w:numPr>
          <w:ilvl w:val="0"/>
          <w:numId w:val="7"/>
        </w:numPr>
        <w:tabs>
          <w:tab w:val="left" w:pos="2356"/>
        </w:tabs>
        <w:spacing w:before="156" w:beforeLines="50" w:after="156" w:afterLines="50" w:line="360" w:lineRule="auto"/>
        <w:rPr>
          <w:rFonts w:eastAsia="楷体_GB2312"/>
          <w:sz w:val="24"/>
        </w:rPr>
      </w:pPr>
      <w:bookmarkStart w:id="20" w:name="_Hlk29667320"/>
      <w:r>
        <w:rPr>
          <w:rFonts w:eastAsia="楷体_GB2312"/>
          <w:sz w:val="24"/>
        </w:rPr>
        <w:t>“借款人”无迟延支付“借款合同”项下到期应付款项的情形</w:t>
      </w:r>
      <w:bookmarkEnd w:id="20"/>
      <w:r>
        <w:rPr>
          <w:rFonts w:eastAsia="楷体_GB2312"/>
          <w:sz w:val="24"/>
        </w:rPr>
        <w:t>，且“借款人”历史最长逾期支付天数不超过【】天；</w:t>
      </w:r>
    </w:p>
    <w:p w14:paraId="7C710673">
      <w:pPr>
        <w:tabs>
          <w:tab w:val="left" w:pos="942"/>
          <w:tab w:val="left" w:pos="2356"/>
        </w:tabs>
        <w:spacing w:before="156" w:beforeLines="50" w:after="156" w:afterLines="50" w:line="360" w:lineRule="auto"/>
        <w:ind w:left="1215"/>
        <w:rPr>
          <w:rFonts w:eastAsia="楷体_GB2312"/>
          <w:b/>
          <w:i/>
          <w:iCs/>
          <w:color w:val="FF0000"/>
          <w:sz w:val="24"/>
        </w:rPr>
      </w:pPr>
      <w:r>
        <w:rPr>
          <w:rFonts w:eastAsia="楷体_GB2312"/>
          <w:b/>
          <w:i/>
          <w:iCs/>
          <w:color w:val="FF0000"/>
          <w:sz w:val="24"/>
        </w:rPr>
        <w:t>【注：1、贷款的逾期天数标准可根据项目实际情况进行调整，但一般而言，入池资产至少在初始起算日和信托设立日均系正常类贷款，具体见第（m）项标准。2、逾期天数的统计口径可根据具体项目情况灵活约定。】</w:t>
      </w:r>
    </w:p>
    <w:p w14:paraId="171165C9">
      <w:pPr>
        <w:numPr>
          <w:ilvl w:val="0"/>
          <w:numId w:val="7"/>
        </w:numPr>
        <w:tabs>
          <w:tab w:val="left" w:pos="2356"/>
        </w:tabs>
        <w:spacing w:before="156" w:beforeLines="50" w:after="156" w:afterLines="50" w:line="360" w:lineRule="auto"/>
        <w:rPr>
          <w:rFonts w:eastAsia="楷体_GB2312"/>
          <w:sz w:val="24"/>
        </w:rPr>
      </w:pPr>
      <w:r>
        <w:rPr>
          <w:rFonts w:eastAsia="楷体_GB2312"/>
          <w:sz w:val="24"/>
        </w:rPr>
        <w:t>“信贷资产”项下各笔“贷款”如涉及最高额保证、最高额抵押或最高额质押，则最高额保证、最高额抵押和最高额质押项下所担保的主债权可依法确定或“《担保合同》”约定“担保人”在最高额担保的债权转让后继续承担相应的担保责任；</w:t>
      </w:r>
    </w:p>
    <w:p w14:paraId="117A9B2D">
      <w:pPr>
        <w:numPr>
          <w:ilvl w:val="0"/>
          <w:numId w:val="7"/>
        </w:numPr>
        <w:tabs>
          <w:tab w:val="left" w:pos="2356"/>
        </w:tabs>
        <w:spacing w:before="156" w:beforeLines="50" w:after="156" w:afterLines="50" w:line="360" w:lineRule="auto"/>
        <w:rPr>
          <w:rFonts w:eastAsia="楷体_GB2312"/>
          <w:sz w:val="24"/>
        </w:rPr>
      </w:pPr>
      <w:r>
        <w:rPr>
          <w:rFonts w:eastAsia="楷体_GB2312"/>
          <w:sz w:val="24"/>
        </w:rPr>
        <w:t>“贷款”由“委托人”按照“合格标准”从各分行的贷款组合中选取，然后进一步选入“资产池”中，整个筛选过程，没有不合理使用对“信托”不利的任何筛选程序。</w:t>
      </w:r>
    </w:p>
    <w:p w14:paraId="279FC7F2">
      <w:pPr>
        <w:tabs>
          <w:tab w:val="left" w:pos="942"/>
          <w:tab w:val="left" w:pos="2356"/>
        </w:tabs>
        <w:spacing w:before="156" w:beforeLines="50" w:after="156" w:afterLines="50" w:line="360" w:lineRule="auto"/>
        <w:ind w:left="942"/>
        <w:rPr>
          <w:rFonts w:eastAsia="楷体_GB2312"/>
          <w:sz w:val="24"/>
        </w:rPr>
      </w:pPr>
      <w:r>
        <w:rPr>
          <w:rFonts w:eastAsia="楷体_GB2312"/>
          <w:b/>
          <w:bCs/>
          <w:i/>
          <w:iCs/>
          <w:color w:val="FF0000"/>
          <w:sz w:val="24"/>
        </w:rPr>
        <w:t>【注：合格标准的具体内容</w:t>
      </w:r>
      <w:bookmarkStart w:id="21" w:name="_Hlk221048645"/>
      <w:r>
        <w:rPr>
          <w:rFonts w:eastAsia="楷体_GB2312"/>
          <w:b/>
          <w:bCs/>
          <w:i/>
          <w:iCs/>
          <w:color w:val="FF0000"/>
          <w:sz w:val="24"/>
        </w:rPr>
        <w:t>可根据项目实际情况进行调整，但应符合法律规定和监管要求</w:t>
      </w:r>
      <w:bookmarkEnd w:id="21"/>
      <w:r>
        <w:rPr>
          <w:rFonts w:eastAsia="楷体_GB2312"/>
          <w:b/>
          <w:bCs/>
          <w:i/>
          <w:iCs/>
          <w:color w:val="FF0000"/>
          <w:sz w:val="24"/>
        </w:rPr>
        <w:t>。】</w:t>
      </w:r>
    </w:p>
    <w:p w14:paraId="37C6440A">
      <w:pPr>
        <w:numPr>
          <w:ilvl w:val="1"/>
          <w:numId w:val="5"/>
        </w:numPr>
        <w:tabs>
          <w:tab w:val="left" w:pos="851"/>
        </w:tabs>
        <w:spacing w:before="156" w:beforeLines="50" w:after="156" w:afterLines="50" w:line="360" w:lineRule="auto"/>
        <w:ind w:left="851" w:hanging="851"/>
        <w:rPr>
          <w:rFonts w:eastAsia="楷体_GB2312"/>
          <w:bCs/>
          <w:sz w:val="24"/>
        </w:rPr>
      </w:pPr>
      <w:r>
        <w:rPr>
          <w:rFonts w:eastAsia="楷体_GB2312"/>
          <w:b/>
          <w:sz w:val="24"/>
        </w:rPr>
        <w:t>资产保证</w:t>
      </w:r>
      <w:r>
        <w:rPr>
          <w:rFonts w:eastAsia="楷体_GB2312"/>
          <w:sz w:val="24"/>
        </w:rPr>
        <w:t>：系指“委托人”在“《信托合同》”第【4.4】款中所做的关于“信贷资产”的状况的全部陈述和保证</w:t>
      </w:r>
      <w:r>
        <w:rPr>
          <w:rFonts w:eastAsia="楷体_GB2312"/>
        </w:rPr>
        <w:t>。</w:t>
      </w:r>
    </w:p>
    <w:p w14:paraId="4C2D0528">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资产池：</w:t>
      </w:r>
      <w:r>
        <w:rPr>
          <w:rFonts w:eastAsia="楷体_GB2312"/>
          <w:kern w:val="0"/>
          <w:sz w:val="24"/>
        </w:rPr>
        <w:t>系指任一时点“信贷资产”的总和。</w:t>
      </w:r>
    </w:p>
    <w:p w14:paraId="762B9AFB">
      <w:pPr>
        <w:numPr>
          <w:ilvl w:val="1"/>
          <w:numId w:val="5"/>
        </w:numPr>
        <w:tabs>
          <w:tab w:val="left" w:pos="840"/>
          <w:tab w:val="clear" w:pos="720"/>
        </w:tabs>
        <w:spacing w:before="156" w:beforeLines="50" w:after="156" w:afterLines="50" w:line="360" w:lineRule="auto"/>
        <w:ind w:left="851" w:hanging="851"/>
        <w:rPr>
          <w:rFonts w:eastAsia="楷体_GB2312"/>
          <w:sz w:val="24"/>
        </w:rPr>
      </w:pPr>
      <w:r>
        <w:rPr>
          <w:rFonts w:eastAsia="楷体_GB2312"/>
          <w:b/>
          <w:sz w:val="24"/>
        </w:rPr>
        <w:t>不合格信贷资产：</w:t>
      </w:r>
      <w:r>
        <w:rPr>
          <w:rFonts w:eastAsia="楷体_GB2312"/>
          <w:sz w:val="24"/>
        </w:rPr>
        <w:t>系指发生以下任一情形的“信贷资产”：</w:t>
      </w:r>
    </w:p>
    <w:p w14:paraId="01E58C05">
      <w:pPr>
        <w:numPr>
          <w:ilvl w:val="0"/>
          <w:numId w:val="8"/>
        </w:numPr>
        <w:spacing w:before="156" w:beforeLines="50" w:after="156" w:afterLines="50" w:line="360" w:lineRule="auto"/>
        <w:rPr>
          <w:rFonts w:eastAsia="楷体_GB2312"/>
          <w:sz w:val="24"/>
        </w:rPr>
      </w:pPr>
      <w:r>
        <w:rPr>
          <w:rFonts w:eastAsia="楷体_GB2312"/>
          <w:sz w:val="24"/>
        </w:rPr>
        <w:t>不</w:t>
      </w:r>
      <w:r>
        <w:rPr>
          <w:rFonts w:eastAsia="楷体_GB2312"/>
          <w:kern w:val="0"/>
          <w:sz w:val="24"/>
        </w:rPr>
        <w:t>符合</w:t>
      </w:r>
      <w:r>
        <w:rPr>
          <w:rFonts w:eastAsia="楷体_GB2312"/>
          <w:sz w:val="24"/>
        </w:rPr>
        <w:t>“资产保证”的“信贷资产”。</w:t>
      </w:r>
    </w:p>
    <w:p w14:paraId="5E39409B">
      <w:pPr>
        <w:numPr>
          <w:ilvl w:val="0"/>
          <w:numId w:val="8"/>
        </w:numPr>
        <w:spacing w:before="156" w:beforeLines="50" w:after="156" w:afterLines="50" w:line="360" w:lineRule="auto"/>
        <w:rPr>
          <w:rFonts w:eastAsia="楷体_GB2312"/>
          <w:sz w:val="24"/>
        </w:rPr>
      </w:pPr>
      <w:r>
        <w:rPr>
          <w:rFonts w:eastAsia="楷体_GB2312"/>
          <w:sz w:val="24"/>
        </w:rPr>
        <w:t>由于“信托财产交付日”前已存在的任何原因导致该“信贷资产”未能在“</w:t>
      </w:r>
      <w:r>
        <w:rPr>
          <w:rFonts w:eastAsia="楷体_GB2312"/>
          <w:kern w:val="0"/>
          <w:sz w:val="24"/>
        </w:rPr>
        <w:t>《信托合同》</w:t>
      </w:r>
      <w:r>
        <w:rPr>
          <w:rFonts w:eastAsia="楷体_GB2312"/>
          <w:sz w:val="24"/>
        </w:rPr>
        <w:t>”第【3.9.6】款约定的登记期限内办理完毕相应“抵押权”、“质权”的转移登记手续的。</w:t>
      </w:r>
    </w:p>
    <w:p w14:paraId="55705B44">
      <w:pPr>
        <w:numPr>
          <w:ilvl w:val="0"/>
          <w:numId w:val="8"/>
        </w:numPr>
        <w:spacing w:before="156" w:beforeLines="50" w:after="156" w:afterLines="50" w:line="360" w:lineRule="auto"/>
        <w:rPr>
          <w:rFonts w:eastAsia="楷体_GB2312"/>
          <w:sz w:val="24"/>
        </w:rPr>
      </w:pPr>
      <w:r>
        <w:rPr>
          <w:rFonts w:eastAsia="楷体_GB2312"/>
          <w:sz w:val="24"/>
        </w:rPr>
        <w:t>在“抵押权”、“质权”转移登记至“受托人”名下之前，出现善意第三人对</w:t>
      </w:r>
      <w:r>
        <w:rPr>
          <w:rFonts w:eastAsia="楷体_GB2312"/>
          <w:kern w:val="0"/>
          <w:sz w:val="24"/>
        </w:rPr>
        <w:t>“抵押物”</w:t>
      </w:r>
      <w:r>
        <w:rPr>
          <w:rFonts w:eastAsia="楷体_GB2312"/>
          <w:sz w:val="24"/>
        </w:rPr>
        <w:t>或“质押财产”主张权利，而“受托人”所享有的“抵押权”或“质权”无法对抗善意第三人的。</w:t>
      </w:r>
    </w:p>
    <w:p w14:paraId="526A3231">
      <w:pPr>
        <w:pStyle w:val="41"/>
        <w:widowControl w:val="0"/>
        <w:spacing w:before="156" w:beforeLines="50" w:after="156" w:afterLines="50" w:line="360" w:lineRule="auto"/>
        <w:ind w:left="942"/>
        <w:rPr>
          <w:rFonts w:eastAsia="楷体_GB2312"/>
        </w:rPr>
      </w:pPr>
      <w:r>
        <w:rPr>
          <w:rFonts w:eastAsia="楷体_GB2312"/>
          <w:b/>
          <w:i/>
          <w:color w:val="FF0000"/>
          <w:szCs w:val="24"/>
          <w:lang w:eastAsia="zh-CN"/>
        </w:rPr>
        <w:t>【注：不合格信贷资产的定义可以根据项目实际情况进行调整。】</w:t>
      </w:r>
    </w:p>
    <w:p w14:paraId="4F14709E">
      <w:pPr>
        <w:numPr>
          <w:ilvl w:val="1"/>
          <w:numId w:val="5"/>
        </w:numPr>
        <w:tabs>
          <w:tab w:val="left" w:pos="851"/>
          <w:tab w:val="clear" w:pos="720"/>
        </w:tabs>
        <w:spacing w:before="156" w:beforeLines="50" w:after="156" w:afterLines="50" w:line="360" w:lineRule="auto"/>
        <w:ind w:left="851" w:hanging="851"/>
        <w:rPr>
          <w:rFonts w:eastAsia="楷体_GB2312"/>
          <w:b/>
          <w:color w:val="0000FF"/>
          <w:sz w:val="24"/>
        </w:rPr>
      </w:pPr>
      <w:r>
        <w:rPr>
          <w:rFonts w:eastAsia="楷体_GB2312"/>
          <w:b/>
          <w:kern w:val="0"/>
          <w:sz w:val="24"/>
        </w:rPr>
        <w:t>违约贷款：</w:t>
      </w:r>
      <w:r>
        <w:rPr>
          <w:rFonts w:eastAsia="楷体_GB2312"/>
          <w:kern w:val="0"/>
          <w:sz w:val="24"/>
        </w:rPr>
        <w:t>在无重复</w:t>
      </w:r>
      <w:r>
        <w:rPr>
          <w:rFonts w:eastAsia="楷体_GB2312"/>
          <w:sz w:val="24"/>
        </w:rPr>
        <w:t>计算</w:t>
      </w:r>
      <w:r>
        <w:rPr>
          <w:rFonts w:eastAsia="楷体_GB2312"/>
          <w:kern w:val="0"/>
          <w:sz w:val="24"/>
        </w:rPr>
        <w:t>的情况下，系指出现以下任何一种情况的“贷款”：</w:t>
      </w:r>
    </w:p>
    <w:p w14:paraId="5E31500A">
      <w:pPr>
        <w:numPr>
          <w:ilvl w:val="0"/>
          <w:numId w:val="9"/>
        </w:numPr>
        <w:spacing w:before="156" w:beforeLines="50" w:after="156" w:afterLines="50" w:line="360" w:lineRule="auto"/>
        <w:rPr>
          <w:rFonts w:eastAsia="楷体_GB2312"/>
          <w:kern w:val="0"/>
          <w:sz w:val="24"/>
        </w:rPr>
      </w:pPr>
      <w:r>
        <w:rPr>
          <w:rFonts w:eastAsia="楷体_GB2312"/>
          <w:kern w:val="0"/>
          <w:sz w:val="24"/>
        </w:rPr>
        <w:t>该</w:t>
      </w:r>
      <w:r>
        <w:rPr>
          <w:rFonts w:eastAsia="楷体_GB2312"/>
          <w:sz w:val="24"/>
        </w:rPr>
        <w:t>“贷款”</w:t>
      </w:r>
      <w:r>
        <w:rPr>
          <w:rFonts w:eastAsia="楷体_GB2312"/>
          <w:kern w:val="0"/>
          <w:sz w:val="24"/>
        </w:rPr>
        <w:t>的任何部分，在“《借款合同》”中约定的本息支付日后，超过【】日（不含【】日）仍未偿还；</w:t>
      </w:r>
    </w:p>
    <w:p w14:paraId="24D86607">
      <w:pPr>
        <w:numPr>
          <w:ilvl w:val="0"/>
          <w:numId w:val="9"/>
        </w:numPr>
        <w:spacing w:before="156" w:beforeLines="50" w:after="156" w:afterLines="50" w:line="360" w:lineRule="auto"/>
        <w:rPr>
          <w:rFonts w:eastAsia="楷体_GB2312"/>
          <w:kern w:val="0"/>
          <w:sz w:val="24"/>
        </w:rPr>
      </w:pPr>
      <w:r>
        <w:rPr>
          <w:rFonts w:eastAsia="楷体_GB2312"/>
          <w:sz w:val="24"/>
        </w:rPr>
        <w:t>“贷款服务机构”</w:t>
      </w:r>
      <w:r>
        <w:rPr>
          <w:rFonts w:eastAsia="楷体_GB2312"/>
          <w:kern w:val="0"/>
          <w:sz w:val="24"/>
        </w:rPr>
        <w:t>根据其内部标准管理程序认定为损失类的“贷款”；或</w:t>
      </w:r>
    </w:p>
    <w:p w14:paraId="1CCEDE95">
      <w:pPr>
        <w:numPr>
          <w:ilvl w:val="0"/>
          <w:numId w:val="9"/>
        </w:numPr>
        <w:spacing w:before="156" w:beforeLines="50" w:after="156" w:afterLines="50" w:line="360" w:lineRule="auto"/>
        <w:rPr>
          <w:rFonts w:eastAsia="楷体_GB2312"/>
          <w:kern w:val="0"/>
          <w:sz w:val="24"/>
        </w:rPr>
      </w:pPr>
      <w:r>
        <w:rPr>
          <w:rFonts w:eastAsia="楷体_GB2312"/>
          <w:kern w:val="0"/>
          <w:sz w:val="24"/>
        </w:rPr>
        <w:t>为了</w:t>
      </w:r>
      <w:r>
        <w:rPr>
          <w:rFonts w:eastAsia="楷体_GB2312"/>
          <w:sz w:val="24"/>
        </w:rPr>
        <w:t>避免</w:t>
      </w:r>
      <w:r>
        <w:rPr>
          <w:rFonts w:eastAsia="楷体_GB2312"/>
          <w:kern w:val="0"/>
          <w:sz w:val="24"/>
        </w:rPr>
        <w:t>一笔“贷款”拖欠或违约，予以重组或展期的“贷款”（但根据“</w:t>
      </w:r>
      <w:r>
        <w:rPr>
          <w:rFonts w:eastAsia="楷体_GB2312"/>
          <w:sz w:val="24"/>
        </w:rPr>
        <w:t>《服务合同》</w:t>
      </w:r>
      <w:r>
        <w:rPr>
          <w:rFonts w:eastAsia="楷体_GB2312"/>
          <w:kern w:val="0"/>
          <w:sz w:val="24"/>
        </w:rPr>
        <w:t>”第【】款约定予以延期的“贷款”除外）。</w:t>
      </w:r>
    </w:p>
    <w:p w14:paraId="473DAAE8">
      <w:pPr>
        <w:spacing w:before="156" w:beforeLines="50" w:after="156" w:afterLines="50" w:line="360" w:lineRule="auto"/>
        <w:ind w:left="851"/>
        <w:rPr>
          <w:rFonts w:eastAsia="楷体_GB2312"/>
          <w:kern w:val="0"/>
          <w:sz w:val="24"/>
        </w:rPr>
      </w:pPr>
      <w:r>
        <w:rPr>
          <w:rFonts w:eastAsia="楷体_GB2312"/>
          <w:kern w:val="0"/>
          <w:sz w:val="24"/>
        </w:rPr>
        <w:t>“贷款”在被认定为“违约贷款”后，即使“借款人”或“保证人”又正常还款或结清该笔“贷款”或者通过行使“抵押权”、“质权”回收“贷款”，该笔“贷款”仍不能恢复为正常“贷款”。</w:t>
      </w:r>
    </w:p>
    <w:p w14:paraId="23D269A3">
      <w:pPr>
        <w:tabs>
          <w:tab w:val="left" w:pos="425"/>
          <w:tab w:val="left" w:pos="851"/>
          <w:tab w:val="left" w:pos="3273"/>
        </w:tabs>
        <w:spacing w:before="156" w:beforeLines="50" w:after="156" w:afterLines="50" w:line="360" w:lineRule="auto"/>
        <w:ind w:left="851"/>
        <w:rPr>
          <w:rFonts w:eastAsia="楷体_GB2312"/>
          <w:b/>
          <w:bCs/>
          <w:i/>
          <w:iCs/>
          <w:color w:val="FF0000"/>
          <w:sz w:val="24"/>
        </w:rPr>
      </w:pPr>
      <w:r>
        <w:rPr>
          <w:rFonts w:eastAsia="楷体_GB2312"/>
          <w:b/>
          <w:bCs/>
          <w:i/>
          <w:iCs/>
          <w:color w:val="FF0000"/>
          <w:sz w:val="24"/>
        </w:rPr>
        <w:t>【注：违约贷款的定义可根据项目实际情况进行调整。】</w:t>
      </w:r>
    </w:p>
    <w:p w14:paraId="5A2B6682">
      <w:pPr>
        <w:numPr>
          <w:ilvl w:val="1"/>
          <w:numId w:val="5"/>
        </w:numPr>
        <w:tabs>
          <w:tab w:val="left" w:pos="851"/>
        </w:tabs>
        <w:spacing w:before="156" w:beforeLines="50" w:after="156" w:afterLines="50" w:line="360" w:lineRule="auto"/>
        <w:ind w:left="851" w:hanging="851"/>
        <w:rPr>
          <w:rFonts w:eastAsia="楷体_GB2312"/>
          <w:kern w:val="0"/>
          <w:sz w:val="20"/>
          <w:szCs w:val="20"/>
        </w:rPr>
      </w:pPr>
      <w:r>
        <w:rPr>
          <w:rFonts w:eastAsia="楷体_GB2312"/>
          <w:b/>
          <w:bCs/>
          <w:sz w:val="24"/>
        </w:rPr>
        <w:t>累计净损失：</w:t>
      </w:r>
      <w:r>
        <w:rPr>
          <w:rFonts w:eastAsia="楷体_GB2312"/>
          <w:bCs/>
          <w:sz w:val="24"/>
        </w:rPr>
        <w:t>系指</w:t>
      </w:r>
      <w:r>
        <w:rPr>
          <w:rFonts w:eastAsia="楷体_GB2312"/>
          <w:kern w:val="0"/>
          <w:sz w:val="24"/>
        </w:rPr>
        <w:t>通过A+B-C计算得出的数值。其中：A为(a)减去(b)的差值（(a)截至某一“收款期间”期初，</w:t>
      </w:r>
      <w:r>
        <w:rPr>
          <w:rFonts w:eastAsia="楷体_GB2312"/>
          <w:sz w:val="24"/>
        </w:rPr>
        <w:t>成为“违约贷款”的全部“信贷资产”在成为“违约贷款”时的全部“未偿本金余额”；</w:t>
      </w:r>
      <w:r>
        <w:rPr>
          <w:rFonts w:eastAsia="楷体_GB2312"/>
          <w:kern w:val="0"/>
          <w:sz w:val="24"/>
        </w:rPr>
        <w:t>(b)截至该“收款期间”期初，</w:t>
      </w:r>
      <w:r>
        <w:rPr>
          <w:rFonts w:eastAsia="楷体_GB2312"/>
          <w:sz w:val="24"/>
        </w:rPr>
        <w:t>“违约贷款”</w:t>
      </w:r>
      <w:r>
        <w:rPr>
          <w:rFonts w:eastAsia="楷体_GB2312"/>
          <w:kern w:val="0"/>
          <w:sz w:val="24"/>
        </w:rPr>
        <w:t>的全部回收资金中减去因回收“违约贷款”所发生的全部“执行费用”和“贷款服务机构”</w:t>
      </w:r>
      <w:r>
        <w:rPr>
          <w:rFonts w:eastAsia="楷体_GB2312"/>
          <w:sz w:val="24"/>
        </w:rPr>
        <w:t>因采取诉讼或仲裁以外的方式处置“违约贷款”而合理发生的所有成本、费用和税收</w:t>
      </w:r>
      <w:r>
        <w:rPr>
          <w:rFonts w:eastAsia="楷体_GB2312"/>
          <w:kern w:val="0"/>
          <w:sz w:val="24"/>
        </w:rPr>
        <w:t>后可归入本金的全部金额之差额）；B为在该“收款期间”内</w:t>
      </w:r>
      <w:r>
        <w:rPr>
          <w:rFonts w:eastAsia="楷体_GB2312"/>
          <w:sz w:val="24"/>
        </w:rPr>
        <w:t>成为“违约贷款”的“贷款”在成为“违约贷款”时的“未偿本金余额”</w:t>
      </w:r>
      <w:r>
        <w:rPr>
          <w:rFonts w:eastAsia="楷体_GB2312"/>
          <w:kern w:val="0"/>
          <w:sz w:val="24"/>
        </w:rPr>
        <w:t>；C为在该“收款期间”内“违约贷款”回收资金中减去因回收“违约贷款”所发生的“执行费用”和“贷款服务机构”</w:t>
      </w:r>
      <w:r>
        <w:rPr>
          <w:rFonts w:eastAsia="楷体_GB2312"/>
          <w:sz w:val="24"/>
        </w:rPr>
        <w:t>因采取诉讼或仲裁以外的方式处置“违约贷款”而合理发生的所有成本、费用和税收</w:t>
      </w:r>
      <w:r>
        <w:rPr>
          <w:rFonts w:eastAsia="楷体_GB2312"/>
          <w:kern w:val="0"/>
          <w:sz w:val="24"/>
        </w:rPr>
        <w:t>后可归入本金的全部金额。</w:t>
      </w:r>
    </w:p>
    <w:p w14:paraId="4E087054">
      <w:pPr>
        <w:pStyle w:val="6"/>
        <w:numPr>
          <w:ilvl w:val="0"/>
          <w:numId w:val="6"/>
        </w:numPr>
        <w:spacing w:before="156" w:beforeLines="50" w:after="156" w:afterLines="50" w:line="360" w:lineRule="auto"/>
        <w:ind w:leftChars="0"/>
        <w:outlineLvl w:val="2"/>
        <w:rPr>
          <w:rFonts w:eastAsia="楷体_GB2312"/>
          <w:b/>
          <w:sz w:val="24"/>
        </w:rPr>
      </w:pPr>
      <w:bookmarkStart w:id="22" w:name="_Toc173860436"/>
      <w:r>
        <w:rPr>
          <w:rFonts w:eastAsia="楷体_GB2312"/>
          <w:b/>
          <w:sz w:val="24"/>
        </w:rPr>
        <w:t>与信托利益和信托受益权相关的各定义</w:t>
      </w:r>
      <w:bookmarkEnd w:id="22"/>
    </w:p>
    <w:p w14:paraId="34CA1DF5">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信托财产收益：</w:t>
      </w:r>
      <w:r>
        <w:rPr>
          <w:rFonts w:eastAsia="楷体_GB2312"/>
          <w:bCs/>
          <w:sz w:val="24"/>
        </w:rPr>
        <w:t>系指因“受托人”对“信托财产”管理、运用、处分而取得的相应利益，该收益包括但不限于，</w:t>
      </w:r>
      <w:r>
        <w:rPr>
          <w:rFonts w:eastAsia="楷体_GB2312"/>
          <w:sz w:val="24"/>
        </w:rPr>
        <w:t>“贷款”项下自“初始起算日”（含该日）起偿还的本金、利息、罚息（如有）</w:t>
      </w:r>
      <w:r>
        <w:rPr>
          <w:rFonts w:eastAsia="楷体_GB2312"/>
          <w:bCs/>
          <w:sz w:val="24"/>
        </w:rPr>
        <w:t>、复利（如有）、违约金（如有）、“借款人”其他应付资金，“受托人”（或“受托人”通过“贷款服务机构”）实现“附属权益”所取得的</w:t>
      </w:r>
      <w:r>
        <w:rPr>
          <w:rFonts w:eastAsia="楷体_GB2312"/>
          <w:sz w:val="24"/>
        </w:rPr>
        <w:t>资金或非现金</w:t>
      </w:r>
      <w:r>
        <w:rPr>
          <w:rFonts w:eastAsia="楷体_GB2312"/>
          <w:bCs/>
          <w:sz w:val="24"/>
        </w:rPr>
        <w:t>“信托财产”</w:t>
      </w:r>
      <w:r>
        <w:rPr>
          <w:rFonts w:eastAsia="楷体_GB2312"/>
          <w:sz w:val="24"/>
        </w:rPr>
        <w:t>，以及“</w:t>
      </w:r>
      <w:r>
        <w:rPr>
          <w:rFonts w:eastAsia="楷体_GB2312"/>
          <w:bCs/>
          <w:sz w:val="24"/>
        </w:rPr>
        <w:t>受托人”</w:t>
      </w:r>
      <w:r>
        <w:rPr>
          <w:rFonts w:eastAsia="楷体_GB2312"/>
          <w:sz w:val="24"/>
        </w:rPr>
        <w:t>对“信托财产”管理、运用、处分而取得的其他利益。</w:t>
      </w:r>
    </w:p>
    <w:p w14:paraId="48EC18DE">
      <w:pPr>
        <w:tabs>
          <w:tab w:val="left" w:pos="425"/>
          <w:tab w:val="left" w:pos="851"/>
          <w:tab w:val="left" w:pos="3273"/>
        </w:tabs>
        <w:spacing w:before="156" w:beforeLines="50" w:after="156" w:afterLines="50" w:line="360" w:lineRule="auto"/>
        <w:ind w:left="851"/>
        <w:rPr>
          <w:rFonts w:eastAsia="楷体_GB2312"/>
          <w:b/>
          <w:bCs/>
          <w:i/>
          <w:iCs/>
          <w:color w:val="FF0000"/>
          <w:sz w:val="24"/>
        </w:rPr>
      </w:pPr>
      <w:r>
        <w:rPr>
          <w:rFonts w:eastAsia="楷体_GB2312"/>
          <w:b/>
          <w:bCs/>
          <w:i/>
          <w:iCs/>
          <w:color w:val="FF0000"/>
          <w:sz w:val="24"/>
        </w:rPr>
        <w:t>【注：1、初始起算日（含该日）是否含该日可根据项目实际情况进行调整。2、初始起算日至信托财产交付日期间收到的相关利息等款项是否入池可根据项目实际情况进行调整。】</w:t>
      </w:r>
    </w:p>
    <w:p w14:paraId="2482E6D3">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信托利益</w:t>
      </w:r>
      <w:r>
        <w:rPr>
          <w:rFonts w:eastAsia="楷体_GB2312"/>
          <w:sz w:val="24"/>
        </w:rPr>
        <w:t>：系指“信托财产收益”扣除与“信托”相关的全部费用后属于“受益人”享有的利益。</w:t>
      </w:r>
    </w:p>
    <w:p w14:paraId="4CDDEEE3">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信托受益权：</w:t>
      </w:r>
      <w:r>
        <w:rPr>
          <w:rFonts w:eastAsia="楷体_GB2312"/>
          <w:sz w:val="24"/>
        </w:rPr>
        <w:t>系指自“信托生效日”起至“信托终止日”止，“受益人”获得“信托利益”的权利。</w:t>
      </w:r>
      <w:r>
        <w:rPr>
          <w:rFonts w:eastAsia="楷体_GB2312"/>
          <w:kern w:val="0"/>
          <w:sz w:val="24"/>
        </w:rPr>
        <w:t>“信托受益权”</w:t>
      </w:r>
      <w:r>
        <w:rPr>
          <w:rFonts w:eastAsia="楷体_GB2312"/>
          <w:bCs/>
          <w:sz w:val="24"/>
        </w:rPr>
        <w:t>包括“优先级信托受益权”、“次级信托受益权”。</w:t>
      </w:r>
    </w:p>
    <w:p w14:paraId="79226A2E">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kern w:val="0"/>
          <w:sz w:val="24"/>
        </w:rPr>
        <w:t>优先级信托受益权：</w:t>
      </w:r>
      <w:r>
        <w:rPr>
          <w:rFonts w:eastAsia="楷体_GB2312"/>
          <w:kern w:val="0"/>
          <w:sz w:val="24"/>
        </w:rPr>
        <w:t>系指由“优先级资产支持证券”所代表的优先于“次级信托受益权”获得“信托利益”分配的权利。</w:t>
      </w:r>
    </w:p>
    <w:p w14:paraId="3850603F">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kern w:val="0"/>
          <w:sz w:val="24"/>
        </w:rPr>
        <w:t>次</w:t>
      </w:r>
      <w:bookmarkStart w:id="23" w:name="_Hlk220182024"/>
      <w:r>
        <w:rPr>
          <w:rFonts w:eastAsia="楷体_GB2312"/>
          <w:b/>
          <w:kern w:val="0"/>
          <w:sz w:val="24"/>
        </w:rPr>
        <w:t>级信托受益权</w:t>
      </w:r>
      <w:bookmarkEnd w:id="23"/>
      <w:r>
        <w:rPr>
          <w:rFonts w:eastAsia="楷体_GB2312"/>
          <w:b/>
          <w:kern w:val="0"/>
          <w:sz w:val="24"/>
        </w:rPr>
        <w:t>：</w:t>
      </w:r>
      <w:r>
        <w:rPr>
          <w:rFonts w:eastAsia="楷体_GB2312"/>
          <w:kern w:val="0"/>
          <w:sz w:val="24"/>
        </w:rPr>
        <w:t>系指由“次级资产支持证券”所代表的次于“优先级信托受益权”获得“信托利益”分配的权利。</w:t>
      </w:r>
    </w:p>
    <w:p w14:paraId="7E891C56">
      <w:pPr>
        <w:tabs>
          <w:tab w:val="left" w:pos="425"/>
          <w:tab w:val="left" w:pos="851"/>
        </w:tabs>
        <w:spacing w:before="156" w:beforeLines="50" w:after="156" w:afterLines="50" w:line="360" w:lineRule="auto"/>
        <w:ind w:left="851"/>
        <w:rPr>
          <w:rFonts w:eastAsia="楷体_GB2312"/>
          <w:sz w:val="24"/>
        </w:rPr>
      </w:pPr>
      <w:bookmarkStart w:id="24" w:name="_Hlk220182029"/>
      <w:r>
        <w:rPr>
          <w:rFonts w:eastAsia="楷体_GB2312"/>
          <w:b/>
          <w:bCs/>
          <w:i/>
          <w:iCs/>
          <w:color w:val="FF0000"/>
          <w:sz w:val="24"/>
        </w:rPr>
        <w:t>【注：关于信托受益权的实际种类，可根据项目实际情况进行调整。】</w:t>
      </w:r>
      <w:bookmarkEnd w:id="24"/>
    </w:p>
    <w:p w14:paraId="6D110C12">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资产支持证券：</w:t>
      </w:r>
      <w:r>
        <w:rPr>
          <w:rFonts w:eastAsia="楷体_GB2312"/>
          <w:sz w:val="24"/>
        </w:rPr>
        <w:t>系指“发行人”（“</w:t>
      </w:r>
      <w:r>
        <w:rPr>
          <w:rFonts w:eastAsia="楷体_GB2312"/>
          <w:bCs/>
          <w:sz w:val="24"/>
        </w:rPr>
        <w:t>受托人”</w:t>
      </w:r>
      <w:r>
        <w:rPr>
          <w:rFonts w:eastAsia="楷体_GB2312"/>
          <w:sz w:val="24"/>
        </w:rPr>
        <w:t>）依据“《信托合同》”和“《发行说明书》”向投资者发行的一种资产受益证券，是证明“资产支持证券持有人”享有本“信托”项下相应“信托受益权”的权利凭证。“资产支持证券”包括“优先级资产支持证券”和“次级资产支持证券”。</w:t>
      </w:r>
    </w:p>
    <w:p w14:paraId="4209000E">
      <w:pPr>
        <w:numPr>
          <w:ilvl w:val="1"/>
          <w:numId w:val="5"/>
        </w:numPr>
        <w:tabs>
          <w:tab w:val="left" w:pos="851"/>
        </w:tabs>
        <w:spacing w:before="156" w:beforeLines="50" w:after="156" w:afterLines="50" w:line="360" w:lineRule="auto"/>
        <w:ind w:left="851" w:hanging="851"/>
        <w:rPr>
          <w:rFonts w:eastAsia="楷体_GB2312"/>
          <w:sz w:val="24"/>
        </w:rPr>
      </w:pPr>
      <w:r>
        <w:rPr>
          <w:rFonts w:eastAsia="楷体_GB2312"/>
          <w:b/>
          <w:sz w:val="24"/>
        </w:rPr>
        <w:t>优先级资产支持证券：</w:t>
      </w:r>
      <w:r>
        <w:rPr>
          <w:rFonts w:eastAsia="楷体_GB2312"/>
          <w:kern w:val="0"/>
          <w:sz w:val="24"/>
        </w:rPr>
        <w:t>系指代表“优先级信托受益权”的“资产支持证券”。“优先级资产支持证券”包括【“优先A档资产支持证券”和“优先B档资产支持证券”】。</w:t>
      </w:r>
    </w:p>
    <w:p w14:paraId="6E53FA1E">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优先A档资产支持证券：</w:t>
      </w:r>
      <w:r>
        <w:rPr>
          <w:rFonts w:eastAsia="楷体_GB2312"/>
          <w:sz w:val="24"/>
        </w:rPr>
        <w:t>系指以此</w:t>
      </w:r>
      <w:r>
        <w:rPr>
          <w:rFonts w:eastAsia="楷体_GB2312"/>
          <w:kern w:val="0"/>
          <w:sz w:val="24"/>
        </w:rPr>
        <w:t>命名</w:t>
      </w:r>
      <w:r>
        <w:rPr>
          <w:rFonts w:eastAsia="楷体_GB2312"/>
          <w:sz w:val="24"/>
        </w:rPr>
        <w:t>的代表“信托”中相应权益的“资产支持证券”。</w:t>
      </w:r>
    </w:p>
    <w:p w14:paraId="26AF335B">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优先B档资产支持证券：</w:t>
      </w:r>
      <w:r>
        <w:rPr>
          <w:rFonts w:eastAsia="楷体_GB2312"/>
          <w:sz w:val="24"/>
        </w:rPr>
        <w:t>系指以此</w:t>
      </w:r>
      <w:r>
        <w:rPr>
          <w:rFonts w:eastAsia="楷体_GB2312"/>
          <w:kern w:val="0"/>
          <w:sz w:val="24"/>
        </w:rPr>
        <w:t>命名</w:t>
      </w:r>
      <w:r>
        <w:rPr>
          <w:rFonts w:eastAsia="楷体_GB2312"/>
          <w:sz w:val="24"/>
        </w:rPr>
        <w:t>的代表“信托”中相应权益的“资产支持证券”。</w:t>
      </w:r>
    </w:p>
    <w:p w14:paraId="2A51F79C">
      <w:pPr>
        <w:numPr>
          <w:ilvl w:val="1"/>
          <w:numId w:val="5"/>
        </w:numPr>
        <w:spacing w:before="156" w:beforeLines="50" w:after="156" w:afterLines="50" w:line="360" w:lineRule="auto"/>
        <w:rPr>
          <w:rFonts w:eastAsia="楷体_GB2312"/>
          <w:i/>
          <w:iCs/>
          <w:sz w:val="24"/>
        </w:rPr>
      </w:pPr>
      <w:r>
        <w:rPr>
          <w:rFonts w:eastAsia="楷体_GB2312"/>
          <w:b/>
          <w:sz w:val="24"/>
        </w:rPr>
        <w:t>次级资产支持证券：</w:t>
      </w:r>
      <w:r>
        <w:rPr>
          <w:rFonts w:eastAsia="楷体_GB2312"/>
          <w:kern w:val="0"/>
          <w:sz w:val="24"/>
        </w:rPr>
        <w:t>系指代表“次级信托受益权”的“资产支持证券”。</w:t>
      </w:r>
    </w:p>
    <w:p w14:paraId="2594F570">
      <w:pPr>
        <w:tabs>
          <w:tab w:val="left" w:pos="425"/>
          <w:tab w:val="left" w:pos="720"/>
        </w:tabs>
        <w:spacing w:before="156" w:beforeLines="50" w:after="156" w:afterLines="50" w:line="360" w:lineRule="auto"/>
        <w:ind w:left="720"/>
        <w:rPr>
          <w:rFonts w:eastAsia="楷体_GB2312"/>
          <w:i/>
          <w:iCs/>
          <w:sz w:val="24"/>
        </w:rPr>
      </w:pPr>
      <w:r>
        <w:rPr>
          <w:rFonts w:eastAsia="楷体_GB2312"/>
          <w:b/>
          <w:i/>
          <w:color w:val="FF0000"/>
          <w:sz w:val="24"/>
        </w:rPr>
        <w:t>【注：此处可根据资产支持证券分层情况细分。】</w:t>
      </w:r>
    </w:p>
    <w:p w14:paraId="5E989464">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sz w:val="24"/>
        </w:rPr>
        <w:t>信托资金：</w:t>
      </w:r>
      <w:r>
        <w:rPr>
          <w:rFonts w:eastAsia="楷体_GB2312"/>
          <w:sz w:val="24"/>
        </w:rPr>
        <w:t>系指“信托财产”中表现为货币形式的部分。</w:t>
      </w:r>
    </w:p>
    <w:p w14:paraId="1E819DD7">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sz w:val="24"/>
        </w:rPr>
        <w:t>保管资金：</w:t>
      </w:r>
      <w:r>
        <w:rPr>
          <w:rFonts w:eastAsia="楷体_GB2312"/>
          <w:sz w:val="24"/>
        </w:rPr>
        <w:t>系指</w:t>
      </w:r>
      <w:r>
        <w:rPr>
          <w:rFonts w:eastAsia="楷体_GB2312"/>
          <w:bCs/>
          <w:sz w:val="24"/>
        </w:rPr>
        <w:t>“</w:t>
      </w:r>
      <w:r>
        <w:rPr>
          <w:rFonts w:eastAsia="楷体_GB2312"/>
          <w:sz w:val="24"/>
        </w:rPr>
        <w:t>信托账户”中的资金。</w:t>
      </w:r>
    </w:p>
    <w:p w14:paraId="6D910EF4">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回收款：</w:t>
      </w:r>
      <w:r>
        <w:rPr>
          <w:rFonts w:eastAsia="楷体_GB2312"/>
          <w:bCs/>
          <w:sz w:val="24"/>
        </w:rPr>
        <w:t>系指“本金回收款”和“收入回收款”的统称。</w:t>
      </w:r>
    </w:p>
    <w:p w14:paraId="70F79C47">
      <w:pPr>
        <w:numPr>
          <w:ilvl w:val="1"/>
          <w:numId w:val="5"/>
        </w:numPr>
        <w:tabs>
          <w:tab w:val="left" w:pos="851"/>
          <w:tab w:val="clear" w:pos="720"/>
        </w:tabs>
        <w:spacing w:before="156" w:beforeLines="50" w:after="156" w:afterLines="50" w:line="360" w:lineRule="auto"/>
        <w:ind w:left="851" w:hanging="851"/>
        <w:rPr>
          <w:rFonts w:eastAsia="楷体_GB2312"/>
          <w:b/>
          <w:bCs/>
          <w:sz w:val="24"/>
        </w:rPr>
      </w:pPr>
      <w:bookmarkStart w:id="25" w:name="_Ref151734944"/>
      <w:r>
        <w:rPr>
          <w:rFonts w:eastAsia="楷体_GB2312"/>
          <w:b/>
          <w:bCs/>
          <w:sz w:val="24"/>
        </w:rPr>
        <w:t>本金回收款：</w:t>
      </w:r>
      <w:r>
        <w:rPr>
          <w:rFonts w:eastAsia="楷体_GB2312"/>
          <w:kern w:val="0"/>
          <w:sz w:val="24"/>
        </w:rPr>
        <w:t>系指从“资产池”中的“信贷资产”所产生的“回收款”中的以下各项：</w:t>
      </w:r>
      <w:bookmarkEnd w:id="25"/>
    </w:p>
    <w:p w14:paraId="66333086">
      <w:pPr>
        <w:numPr>
          <w:ilvl w:val="0"/>
          <w:numId w:val="10"/>
        </w:numPr>
        <w:tabs>
          <w:tab w:val="left" w:pos="2356"/>
        </w:tabs>
        <w:spacing w:before="156" w:beforeLines="50" w:after="156" w:afterLines="50" w:line="360" w:lineRule="auto"/>
        <w:rPr>
          <w:rFonts w:eastAsia="楷体_GB2312"/>
          <w:kern w:val="0"/>
          <w:sz w:val="24"/>
        </w:rPr>
      </w:pPr>
      <w:r>
        <w:rPr>
          <w:rFonts w:eastAsia="楷体_GB2312"/>
          <w:kern w:val="0"/>
          <w:sz w:val="24"/>
        </w:rPr>
        <w:t>“借款人”归还的“贷款”本金；</w:t>
      </w:r>
    </w:p>
    <w:p w14:paraId="54D971B3">
      <w:pPr>
        <w:numPr>
          <w:ilvl w:val="0"/>
          <w:numId w:val="10"/>
        </w:numPr>
        <w:tabs>
          <w:tab w:val="left" w:pos="2356"/>
        </w:tabs>
        <w:spacing w:before="156" w:beforeLines="50" w:after="156" w:afterLines="50" w:line="360" w:lineRule="auto"/>
        <w:rPr>
          <w:rFonts w:eastAsia="楷体_GB2312"/>
          <w:kern w:val="0"/>
          <w:sz w:val="24"/>
        </w:rPr>
      </w:pPr>
      <w:r>
        <w:rPr>
          <w:rFonts w:eastAsia="楷体_GB2312"/>
          <w:kern w:val="0"/>
          <w:sz w:val="24"/>
        </w:rPr>
        <w:t>在“借款人”对其债务本金行使抵销权后，“委托人”就被“抵销”的债务本金所支付的相应本金部分；</w:t>
      </w:r>
    </w:p>
    <w:p w14:paraId="34EBC4E2">
      <w:pPr>
        <w:numPr>
          <w:ilvl w:val="0"/>
          <w:numId w:val="10"/>
        </w:numPr>
        <w:tabs>
          <w:tab w:val="left" w:pos="2356"/>
        </w:tabs>
        <w:spacing w:before="156" w:beforeLines="50" w:after="156" w:afterLines="50" w:line="360" w:lineRule="auto"/>
        <w:rPr>
          <w:rFonts w:eastAsia="楷体_GB2312"/>
          <w:kern w:val="0"/>
          <w:sz w:val="24"/>
        </w:rPr>
      </w:pPr>
      <w:r>
        <w:rPr>
          <w:rFonts w:eastAsia="楷体_GB2312"/>
          <w:kern w:val="0"/>
          <w:sz w:val="24"/>
        </w:rPr>
        <w:t>“委托人”根据“《信托合同》”支付的任何“赎回价格”中所含的本金部分；</w:t>
      </w:r>
    </w:p>
    <w:p w14:paraId="53ECD84F">
      <w:pPr>
        <w:numPr>
          <w:ilvl w:val="0"/>
          <w:numId w:val="10"/>
        </w:numPr>
        <w:tabs>
          <w:tab w:val="left" w:pos="2356"/>
        </w:tabs>
        <w:spacing w:before="156" w:beforeLines="50" w:after="156" w:afterLines="50" w:line="360" w:lineRule="auto"/>
        <w:rPr>
          <w:rFonts w:eastAsia="楷体_GB2312"/>
          <w:kern w:val="0"/>
          <w:sz w:val="24"/>
        </w:rPr>
      </w:pPr>
      <w:r>
        <w:rPr>
          <w:rFonts w:eastAsia="楷体_GB2312"/>
          <w:kern w:val="0"/>
          <w:sz w:val="24"/>
        </w:rPr>
        <w:t>“委托人”根据“《信托合同》”支付的“清仓回购价格”中的本金部分；</w:t>
      </w:r>
    </w:p>
    <w:p w14:paraId="4033301B">
      <w:pPr>
        <w:numPr>
          <w:ilvl w:val="0"/>
          <w:numId w:val="10"/>
        </w:numPr>
        <w:tabs>
          <w:tab w:val="left" w:pos="2356"/>
        </w:tabs>
        <w:spacing w:before="156" w:beforeLines="50" w:after="156" w:afterLines="50" w:line="360" w:lineRule="auto"/>
        <w:rPr>
          <w:rFonts w:eastAsia="楷体_GB2312"/>
          <w:kern w:val="0"/>
          <w:sz w:val="24"/>
        </w:rPr>
      </w:pPr>
      <w:r>
        <w:rPr>
          <w:rFonts w:eastAsia="楷体_GB2312"/>
          <w:kern w:val="0"/>
          <w:sz w:val="24"/>
        </w:rPr>
        <w:t>“违约贷款”回收资金中减去该笔已回收的“违约贷款”所发生的“执行费用”后可记入本金的所有金额，再减去未能从“收入回收款”</w:t>
      </w:r>
      <w:r>
        <w:rPr>
          <w:rFonts w:eastAsia="楷体_GB2312"/>
          <w:kern w:val="0"/>
          <w:sz w:val="24"/>
        </w:rPr>
        <w:fldChar w:fldCharType="begin"/>
      </w:r>
      <w:r>
        <w:rPr>
          <w:rFonts w:eastAsia="楷体_GB2312"/>
          <w:kern w:val="0"/>
          <w:sz w:val="24"/>
        </w:rPr>
        <w:instrText xml:space="preserve"> REF _Ref51114932 \r \h  \* MERGEFORMAT </w:instrText>
      </w:r>
      <w:r>
        <w:rPr>
          <w:rFonts w:eastAsia="楷体_GB2312"/>
          <w:kern w:val="0"/>
          <w:sz w:val="24"/>
        </w:rPr>
        <w:fldChar w:fldCharType="separate"/>
      </w:r>
      <w:r>
        <w:rPr>
          <w:rFonts w:eastAsia="楷体_GB2312"/>
          <w:kern w:val="0"/>
          <w:sz w:val="24"/>
        </w:rPr>
        <w:t>(c)</w:t>
      </w:r>
      <w:r>
        <w:rPr>
          <w:rFonts w:eastAsia="楷体_GB2312"/>
          <w:kern w:val="0"/>
          <w:sz w:val="24"/>
        </w:rPr>
        <w:fldChar w:fldCharType="end"/>
      </w:r>
      <w:r>
        <w:rPr>
          <w:rFonts w:eastAsia="楷体_GB2312"/>
          <w:kern w:val="0"/>
          <w:sz w:val="24"/>
        </w:rPr>
        <w:t>项中扣除的“执行费用”之后的剩余金额（如有）；</w:t>
      </w:r>
    </w:p>
    <w:p w14:paraId="06C95ABF">
      <w:pPr>
        <w:numPr>
          <w:ilvl w:val="0"/>
          <w:numId w:val="10"/>
        </w:numPr>
        <w:tabs>
          <w:tab w:val="left" w:pos="2356"/>
        </w:tabs>
        <w:spacing w:before="156" w:beforeLines="50" w:after="156" w:afterLines="50" w:line="360" w:lineRule="auto"/>
        <w:rPr>
          <w:rFonts w:eastAsia="楷体_GB2312"/>
          <w:kern w:val="0"/>
          <w:sz w:val="24"/>
        </w:rPr>
      </w:pPr>
      <w:r>
        <w:rPr>
          <w:rFonts w:eastAsia="楷体_GB2312"/>
          <w:kern w:val="0"/>
          <w:sz w:val="24"/>
        </w:rPr>
        <w:t>“保证人”履行保证责任而支付的金额中的本金部分；</w:t>
      </w:r>
    </w:p>
    <w:p w14:paraId="75AB0A2E">
      <w:pPr>
        <w:numPr>
          <w:ilvl w:val="0"/>
          <w:numId w:val="10"/>
        </w:numPr>
        <w:tabs>
          <w:tab w:val="left" w:pos="2356"/>
        </w:tabs>
        <w:spacing w:before="156" w:beforeLines="50" w:after="156" w:afterLines="50" w:line="360" w:lineRule="auto"/>
        <w:rPr>
          <w:rFonts w:eastAsia="楷体_GB2312"/>
          <w:kern w:val="0"/>
          <w:sz w:val="24"/>
        </w:rPr>
      </w:pPr>
      <w:r>
        <w:rPr>
          <w:rFonts w:eastAsia="楷体_GB2312"/>
          <w:sz w:val="24"/>
        </w:rPr>
        <w:t>“贷款”项下因实现“抵押权”、“质权”所产生的可归入本金的金额；</w:t>
      </w:r>
    </w:p>
    <w:p w14:paraId="3DB27AC6">
      <w:pPr>
        <w:numPr>
          <w:ilvl w:val="0"/>
          <w:numId w:val="10"/>
        </w:numPr>
        <w:tabs>
          <w:tab w:val="left" w:pos="2356"/>
        </w:tabs>
        <w:spacing w:before="156" w:beforeLines="50" w:after="156" w:afterLines="50" w:line="360" w:lineRule="auto"/>
        <w:rPr>
          <w:rFonts w:eastAsia="楷体_GB2312"/>
          <w:sz w:val="24"/>
        </w:rPr>
      </w:pPr>
      <w:r>
        <w:rPr>
          <w:rFonts w:eastAsia="楷体_GB2312"/>
          <w:sz w:val="24"/>
        </w:rPr>
        <w:t>“受托人”根据“资产支持证券持有人大会”的授权委托第三方对非现金“信托财产”进行处置而取得的回收资金中属于本金的部分；</w:t>
      </w:r>
      <w:r>
        <w:rPr>
          <w:rFonts w:eastAsia="楷体_GB2312"/>
          <w:kern w:val="0"/>
          <w:sz w:val="24"/>
        </w:rPr>
        <w:t>以及</w:t>
      </w:r>
    </w:p>
    <w:p w14:paraId="031CE5B6">
      <w:pPr>
        <w:numPr>
          <w:ilvl w:val="0"/>
          <w:numId w:val="10"/>
        </w:numPr>
        <w:tabs>
          <w:tab w:val="left" w:pos="2356"/>
        </w:tabs>
        <w:spacing w:before="156" w:beforeLines="50" w:after="156" w:afterLines="50" w:line="360" w:lineRule="auto"/>
        <w:rPr>
          <w:rFonts w:eastAsia="楷体_GB2312"/>
          <w:sz w:val="24"/>
        </w:rPr>
      </w:pPr>
      <w:r>
        <w:rPr>
          <w:rFonts w:eastAsia="楷体_GB2312"/>
          <w:sz w:val="24"/>
        </w:rPr>
        <w:t>“信贷资产”的其他回收、变现资金或交易对价中属于本金的部分。</w:t>
      </w:r>
    </w:p>
    <w:p w14:paraId="06A51A30">
      <w:pPr>
        <w:autoSpaceDE w:val="0"/>
        <w:autoSpaceDN w:val="0"/>
        <w:adjustRightInd w:val="0"/>
        <w:spacing w:before="156" w:beforeLines="50" w:after="156" w:afterLines="50" w:line="360" w:lineRule="auto"/>
        <w:ind w:left="567" w:firstLine="273"/>
        <w:jc w:val="left"/>
        <w:rPr>
          <w:rFonts w:eastAsia="楷体_GB2312"/>
          <w:b/>
          <w:i/>
          <w:color w:val="FF0000"/>
          <w:sz w:val="24"/>
        </w:rPr>
      </w:pPr>
      <w:r>
        <w:rPr>
          <w:rFonts w:eastAsia="楷体_GB2312"/>
          <w:b/>
          <w:i/>
          <w:color w:val="FF0000"/>
          <w:sz w:val="24"/>
        </w:rPr>
        <w:t>【注：本金回收款范围</w:t>
      </w:r>
      <w:r>
        <w:rPr>
          <w:rFonts w:eastAsia="楷体_GB2312"/>
          <w:b/>
          <w:bCs/>
          <w:i/>
          <w:iCs/>
          <w:color w:val="FF0000"/>
          <w:sz w:val="24"/>
        </w:rPr>
        <w:t>可根据项目资产情况予以补充、完善或调整</w:t>
      </w:r>
      <w:r>
        <w:rPr>
          <w:rFonts w:eastAsia="楷体_GB2312"/>
          <w:b/>
          <w:i/>
          <w:color w:val="FF0000"/>
          <w:sz w:val="24"/>
        </w:rPr>
        <w:t>。】</w:t>
      </w:r>
    </w:p>
    <w:p w14:paraId="06EA5738">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收入回收款：</w:t>
      </w:r>
      <w:r>
        <w:rPr>
          <w:rFonts w:eastAsia="楷体_GB2312"/>
          <w:kern w:val="0"/>
          <w:sz w:val="24"/>
        </w:rPr>
        <w:t>系指从“资产池”中的“信贷资产”所产生的“回收款”中除“本金回收款”以外的“回收款”，包括但不限于：</w:t>
      </w:r>
    </w:p>
    <w:p w14:paraId="6720B727">
      <w:pPr>
        <w:numPr>
          <w:ilvl w:val="0"/>
          <w:numId w:val="11"/>
        </w:numPr>
        <w:spacing w:before="156" w:beforeLines="50" w:after="156" w:afterLines="50" w:line="360" w:lineRule="auto"/>
        <w:rPr>
          <w:rFonts w:eastAsia="楷体_GB2312"/>
          <w:kern w:val="0"/>
          <w:sz w:val="24"/>
        </w:rPr>
      </w:pPr>
      <w:r>
        <w:rPr>
          <w:rFonts w:eastAsia="楷体_GB2312"/>
          <w:kern w:val="0"/>
          <w:sz w:val="24"/>
        </w:rPr>
        <w:t>相关“贷款”的利息、收费和报酬（包括在“借款人”对其利息债务行使抵销权后，“委托人”就被“抵销”的利息所支付的相应款项，还包括“委托人”根据“《信托合同》”支付的任何“赎回价格”中所含的利息部分以及</w:t>
      </w:r>
      <w:r>
        <w:rPr>
          <w:rFonts w:eastAsia="楷体_GB2312"/>
          <w:sz w:val="24"/>
        </w:rPr>
        <w:t>“委托人”</w:t>
      </w:r>
      <w:r>
        <w:rPr>
          <w:rFonts w:eastAsia="楷体_GB2312"/>
          <w:kern w:val="0"/>
          <w:sz w:val="24"/>
        </w:rPr>
        <w:t>根据“《信托合同》”支付的“清仓回购价格”中所含的利息部分）；</w:t>
      </w:r>
    </w:p>
    <w:p w14:paraId="6D1F5079">
      <w:pPr>
        <w:numPr>
          <w:ilvl w:val="0"/>
          <w:numId w:val="11"/>
        </w:numPr>
        <w:spacing w:before="156" w:beforeLines="50" w:after="156" w:afterLines="50" w:line="360" w:lineRule="auto"/>
        <w:rPr>
          <w:rFonts w:eastAsia="楷体_GB2312"/>
          <w:kern w:val="0"/>
          <w:sz w:val="24"/>
        </w:rPr>
      </w:pPr>
      <w:r>
        <w:rPr>
          <w:rFonts w:eastAsia="楷体_GB2312"/>
          <w:kern w:val="0"/>
          <w:sz w:val="24"/>
        </w:rPr>
        <w:t>“信托账户”中的资金取得的所有利息及投资收益，包括但不限于“信托账户”中的资金进行“合格投资”所取得的收益；</w:t>
      </w:r>
    </w:p>
    <w:p w14:paraId="655F2E30">
      <w:pPr>
        <w:numPr>
          <w:ilvl w:val="0"/>
          <w:numId w:val="11"/>
        </w:numPr>
        <w:tabs>
          <w:tab w:val="left" w:pos="2356"/>
        </w:tabs>
        <w:spacing w:before="156" w:beforeLines="50" w:after="156" w:afterLines="50" w:line="360" w:lineRule="auto"/>
        <w:rPr>
          <w:rFonts w:eastAsia="楷体_GB2312"/>
          <w:sz w:val="24"/>
        </w:rPr>
      </w:pPr>
      <w:bookmarkStart w:id="26" w:name="_Ref51114932"/>
      <w:r>
        <w:rPr>
          <w:rFonts w:eastAsia="楷体_GB2312"/>
          <w:kern w:val="0"/>
          <w:sz w:val="24"/>
        </w:rPr>
        <w:t>“违约贷款”</w:t>
      </w:r>
      <w:r>
        <w:rPr>
          <w:rFonts w:eastAsia="楷体_GB2312"/>
          <w:sz w:val="24"/>
        </w:rPr>
        <w:t>回收</w:t>
      </w:r>
      <w:r>
        <w:rPr>
          <w:rFonts w:eastAsia="楷体_GB2312"/>
          <w:kern w:val="0"/>
          <w:sz w:val="24"/>
        </w:rPr>
        <w:t>资金中减去该笔已回收的“违约贷款”所发生的“执行费用”后可记入利息、收费和报酬的款项，</w:t>
      </w:r>
      <w:r>
        <w:rPr>
          <w:rFonts w:hint="eastAsia" w:eastAsia="楷体_GB2312"/>
          <w:kern w:val="0"/>
          <w:sz w:val="24"/>
        </w:rPr>
        <w:t>再</w:t>
      </w:r>
      <w:r>
        <w:rPr>
          <w:rFonts w:eastAsia="楷体_GB2312"/>
          <w:kern w:val="0"/>
          <w:sz w:val="24"/>
        </w:rPr>
        <w:t>扣除其他“违约贷款”已发生但尚未扣除的“执行费用”之后的剩余金额（如有）；</w:t>
      </w:r>
      <w:bookmarkEnd w:id="26"/>
    </w:p>
    <w:p w14:paraId="0F7BC793">
      <w:pPr>
        <w:numPr>
          <w:ilvl w:val="0"/>
          <w:numId w:val="11"/>
        </w:numPr>
        <w:tabs>
          <w:tab w:val="left" w:pos="2356"/>
        </w:tabs>
        <w:spacing w:before="156" w:beforeLines="50" w:after="156" w:afterLines="50" w:line="360" w:lineRule="auto"/>
        <w:rPr>
          <w:rFonts w:eastAsia="楷体_GB2312"/>
          <w:kern w:val="0"/>
          <w:sz w:val="24"/>
        </w:rPr>
      </w:pPr>
      <w:r>
        <w:rPr>
          <w:rFonts w:eastAsia="楷体_GB2312"/>
          <w:kern w:val="0"/>
          <w:sz w:val="24"/>
        </w:rPr>
        <w:t>“保证人”</w:t>
      </w:r>
      <w:r>
        <w:rPr>
          <w:rFonts w:eastAsia="楷体_GB2312"/>
          <w:sz w:val="24"/>
        </w:rPr>
        <w:t>履行</w:t>
      </w:r>
      <w:r>
        <w:rPr>
          <w:rFonts w:eastAsia="楷体_GB2312"/>
          <w:kern w:val="0"/>
          <w:sz w:val="24"/>
        </w:rPr>
        <w:t>保证责任而支付的金额中除本金以外的部分；</w:t>
      </w:r>
    </w:p>
    <w:p w14:paraId="1AA4079B">
      <w:pPr>
        <w:numPr>
          <w:ilvl w:val="0"/>
          <w:numId w:val="11"/>
        </w:numPr>
        <w:tabs>
          <w:tab w:val="left" w:pos="2356"/>
        </w:tabs>
        <w:spacing w:before="156" w:beforeLines="50" w:after="156" w:afterLines="50" w:line="360" w:lineRule="auto"/>
        <w:rPr>
          <w:rFonts w:eastAsia="楷体_GB2312"/>
          <w:sz w:val="24"/>
        </w:rPr>
      </w:pPr>
      <w:r>
        <w:rPr>
          <w:rFonts w:eastAsia="楷体_GB2312"/>
          <w:sz w:val="24"/>
        </w:rPr>
        <w:t>“贷款”项下因实现“抵押权”、“质权”所产生的款项中除本金以外的部分；</w:t>
      </w:r>
    </w:p>
    <w:p w14:paraId="21C47770">
      <w:pPr>
        <w:numPr>
          <w:ilvl w:val="0"/>
          <w:numId w:val="11"/>
        </w:numPr>
        <w:tabs>
          <w:tab w:val="left" w:pos="2356"/>
        </w:tabs>
        <w:spacing w:before="156" w:beforeLines="50" w:after="156" w:afterLines="50" w:line="360" w:lineRule="auto"/>
        <w:rPr>
          <w:rFonts w:eastAsia="楷体_GB2312"/>
          <w:kern w:val="0"/>
          <w:sz w:val="24"/>
        </w:rPr>
      </w:pPr>
      <w:r>
        <w:rPr>
          <w:rFonts w:eastAsia="楷体_GB2312"/>
          <w:sz w:val="24"/>
        </w:rPr>
        <w:t>“受托人”根据“资产支持证券持有人大会”的授权委托第三方对非现金</w:t>
      </w:r>
      <w:r>
        <w:rPr>
          <w:rFonts w:eastAsia="楷体_GB2312"/>
          <w:kern w:val="0"/>
          <w:sz w:val="24"/>
        </w:rPr>
        <w:t>“信托财产”</w:t>
      </w:r>
      <w:r>
        <w:rPr>
          <w:rFonts w:eastAsia="楷体_GB2312"/>
          <w:sz w:val="24"/>
        </w:rPr>
        <w:t>进行处置而取得的回收资金中</w:t>
      </w:r>
      <w:r>
        <w:rPr>
          <w:rFonts w:eastAsia="楷体_GB2312"/>
          <w:kern w:val="0"/>
          <w:sz w:val="24"/>
        </w:rPr>
        <w:t>除本金以外</w:t>
      </w:r>
      <w:r>
        <w:rPr>
          <w:rFonts w:eastAsia="楷体_GB2312"/>
          <w:sz w:val="24"/>
        </w:rPr>
        <w:t>的部分；以及</w:t>
      </w:r>
    </w:p>
    <w:p w14:paraId="0926CB06">
      <w:pPr>
        <w:numPr>
          <w:ilvl w:val="0"/>
          <w:numId w:val="11"/>
        </w:numPr>
        <w:tabs>
          <w:tab w:val="left" w:pos="2356"/>
        </w:tabs>
        <w:spacing w:before="156" w:beforeLines="50" w:after="156" w:afterLines="50" w:line="360" w:lineRule="auto"/>
        <w:rPr>
          <w:rFonts w:eastAsia="楷体_GB2312"/>
          <w:kern w:val="0"/>
          <w:sz w:val="24"/>
        </w:rPr>
      </w:pPr>
      <w:r>
        <w:rPr>
          <w:rFonts w:eastAsia="楷体_GB2312"/>
          <w:sz w:val="24"/>
        </w:rPr>
        <w:t>“信贷资产”的其他回收、变现资金或交易对价中除本金以外的部分。</w:t>
      </w:r>
    </w:p>
    <w:p w14:paraId="304755A9">
      <w:pPr>
        <w:autoSpaceDE w:val="0"/>
        <w:autoSpaceDN w:val="0"/>
        <w:adjustRightInd w:val="0"/>
        <w:spacing w:before="156" w:beforeLines="50" w:after="156" w:afterLines="50" w:line="360" w:lineRule="auto"/>
        <w:ind w:left="567" w:firstLine="273"/>
        <w:jc w:val="left"/>
        <w:rPr>
          <w:rFonts w:eastAsia="楷体_GB2312"/>
          <w:kern w:val="0"/>
          <w:sz w:val="24"/>
        </w:rPr>
      </w:pPr>
      <w:r>
        <w:rPr>
          <w:rFonts w:eastAsia="楷体_GB2312"/>
          <w:b/>
          <w:i/>
          <w:color w:val="FF0000"/>
          <w:sz w:val="24"/>
        </w:rPr>
        <w:t>【注：收入回收款范围</w:t>
      </w:r>
      <w:r>
        <w:rPr>
          <w:rFonts w:eastAsia="楷体_GB2312"/>
          <w:b/>
          <w:bCs/>
          <w:i/>
          <w:iCs/>
          <w:color w:val="FF0000"/>
          <w:sz w:val="24"/>
        </w:rPr>
        <w:t>可根据项目资产情况予以补充、完善或调整</w:t>
      </w:r>
      <w:r>
        <w:rPr>
          <w:rFonts w:eastAsia="楷体_GB2312"/>
          <w:b/>
          <w:i/>
          <w:color w:val="FF0000"/>
          <w:sz w:val="24"/>
        </w:rPr>
        <w:t>。】</w:t>
      </w:r>
    </w:p>
    <w:p w14:paraId="3BADFBE0">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赎回价格：</w:t>
      </w:r>
      <w:r>
        <w:rPr>
          <w:rFonts w:eastAsia="楷体_GB2312"/>
          <w:bCs/>
          <w:sz w:val="24"/>
        </w:rPr>
        <w:t>系指</w:t>
      </w:r>
      <w:r>
        <w:rPr>
          <w:rFonts w:eastAsia="楷体_GB2312"/>
          <w:kern w:val="0"/>
          <w:sz w:val="24"/>
        </w:rPr>
        <w:t>“委托人”根据“《信托合同》”第</w:t>
      </w:r>
      <w:r>
        <w:rPr>
          <w:rFonts w:hint="eastAsia" w:eastAsia="楷体_GB2312"/>
          <w:kern w:val="0"/>
          <w:sz w:val="24"/>
        </w:rPr>
        <w:t>【</w:t>
      </w:r>
      <w:r>
        <w:rPr>
          <w:rFonts w:eastAsia="楷体_GB2312"/>
          <w:kern w:val="0"/>
          <w:sz w:val="24"/>
        </w:rPr>
        <w:t>12</w:t>
      </w:r>
      <w:r>
        <w:rPr>
          <w:rFonts w:hint="eastAsia" w:eastAsia="楷体_GB2312"/>
          <w:kern w:val="0"/>
          <w:sz w:val="24"/>
        </w:rPr>
        <w:t>】</w:t>
      </w:r>
      <w:r>
        <w:rPr>
          <w:rFonts w:eastAsia="楷体_GB2312"/>
          <w:kern w:val="0"/>
          <w:sz w:val="24"/>
        </w:rPr>
        <w:t>条的约定赎回“不合格信贷资产”的价格，即【】。</w:t>
      </w:r>
    </w:p>
    <w:p w14:paraId="1CA4A528">
      <w:pPr>
        <w:tabs>
          <w:tab w:val="left" w:pos="425"/>
          <w:tab w:val="left" w:pos="851"/>
        </w:tabs>
        <w:spacing w:before="156" w:beforeLines="50" w:after="156" w:afterLines="50" w:line="360" w:lineRule="auto"/>
        <w:ind w:left="851"/>
        <w:rPr>
          <w:rFonts w:eastAsia="楷体_GB2312"/>
          <w:b/>
          <w:bCs/>
          <w:i/>
          <w:iCs/>
          <w:color w:val="FF0000"/>
          <w:sz w:val="24"/>
        </w:rPr>
      </w:pPr>
      <w:r>
        <w:rPr>
          <w:rFonts w:eastAsia="楷体_GB2312"/>
          <w:b/>
          <w:bCs/>
          <w:i/>
          <w:iCs/>
          <w:color w:val="FF0000"/>
          <w:sz w:val="24"/>
        </w:rPr>
        <w:t>【注：可根据项目实际情况补充所适用的赎回价格计算公式。】</w:t>
      </w:r>
    </w:p>
    <w:p w14:paraId="7360AEC5">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清仓回购价格：</w:t>
      </w:r>
      <w:r>
        <w:rPr>
          <w:rFonts w:eastAsia="楷体_GB2312"/>
          <w:bCs/>
          <w:sz w:val="24"/>
        </w:rPr>
        <w:t>系指</w:t>
      </w:r>
      <w:r>
        <w:rPr>
          <w:rFonts w:eastAsia="楷体_GB2312"/>
          <w:kern w:val="0"/>
          <w:sz w:val="24"/>
        </w:rPr>
        <w:t>“委托人”根据“《信托合同》”第</w:t>
      </w:r>
      <w:r>
        <w:rPr>
          <w:rFonts w:hint="eastAsia" w:eastAsia="楷体_GB2312"/>
          <w:kern w:val="0"/>
          <w:sz w:val="24"/>
        </w:rPr>
        <w:t>【</w:t>
      </w:r>
      <w:r>
        <w:rPr>
          <w:rFonts w:eastAsia="楷体_GB2312"/>
          <w:kern w:val="0"/>
          <w:sz w:val="24"/>
        </w:rPr>
        <w:t>14</w:t>
      </w:r>
      <w:r>
        <w:rPr>
          <w:rFonts w:hint="eastAsia" w:eastAsia="楷体_GB2312"/>
          <w:kern w:val="0"/>
          <w:sz w:val="24"/>
        </w:rPr>
        <w:t>】</w:t>
      </w:r>
      <w:r>
        <w:rPr>
          <w:rFonts w:eastAsia="楷体_GB2312"/>
          <w:kern w:val="0"/>
          <w:sz w:val="24"/>
        </w:rPr>
        <w:t>条的约定进行“清仓回购”时的市场价格。</w:t>
      </w:r>
    </w:p>
    <w:p w14:paraId="5F1DA118">
      <w:pPr>
        <w:tabs>
          <w:tab w:val="left" w:pos="425"/>
          <w:tab w:val="left" w:pos="851"/>
        </w:tabs>
        <w:spacing w:before="156" w:beforeLines="50" w:after="156" w:afterLines="50" w:line="360" w:lineRule="auto"/>
        <w:ind w:left="851"/>
        <w:rPr>
          <w:rFonts w:eastAsia="楷体_GB2312"/>
          <w:bCs/>
          <w:color w:val="FF0000"/>
          <w:sz w:val="24"/>
        </w:rPr>
      </w:pPr>
      <w:r>
        <w:rPr>
          <w:rFonts w:eastAsia="楷体_GB2312"/>
          <w:b/>
          <w:bCs/>
          <w:i/>
          <w:color w:val="FF0000"/>
          <w:sz w:val="24"/>
        </w:rPr>
        <w:t>【注：</w:t>
      </w:r>
      <w:r>
        <w:rPr>
          <w:rFonts w:eastAsia="楷体_GB2312"/>
          <w:b/>
          <w:i/>
          <w:iCs/>
          <w:color w:val="FF0000"/>
          <w:sz w:val="24"/>
        </w:rPr>
        <w:t>清仓回购价格可根据项目具体安排明确计算规则</w:t>
      </w:r>
      <w:r>
        <w:rPr>
          <w:rFonts w:eastAsia="楷体_GB2312"/>
          <w:b/>
          <w:bCs/>
          <w:i/>
          <w:color w:val="FF0000"/>
          <w:sz w:val="24"/>
        </w:rPr>
        <w:t>。】</w:t>
      </w:r>
    </w:p>
    <w:p w14:paraId="0EB9F45B">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未偿本金余额：</w:t>
      </w:r>
      <w:r>
        <w:rPr>
          <w:rFonts w:eastAsia="楷体_GB2312"/>
          <w:kern w:val="0"/>
          <w:sz w:val="24"/>
        </w:rPr>
        <w:t>就某一日期的每一笔“贷款”而言，系指A-B-C：A指其“初始起算日本金余额”；B指自“初始起算日”之后起至该日之前，有关该笔“贷款”的所有已经偿还的本金；C指自“初始起算日”之后起至该日之前，有关该笔“贷款”的所有已经被核销的本金。就某一日期的各档“资产支持证券”而言，系指A-B：A指“</w:t>
      </w:r>
      <w:r>
        <w:rPr>
          <w:rFonts w:eastAsia="楷体_GB2312"/>
          <w:bCs/>
          <w:sz w:val="24"/>
        </w:rPr>
        <w:t>信托财产交付日</w:t>
      </w:r>
      <w:r>
        <w:rPr>
          <w:rFonts w:eastAsia="楷体_GB2312"/>
          <w:kern w:val="0"/>
          <w:sz w:val="24"/>
        </w:rPr>
        <w:t>”该档“资产支持证券”的本金余额；B指自“</w:t>
      </w:r>
      <w:r>
        <w:rPr>
          <w:rFonts w:eastAsia="楷体_GB2312"/>
          <w:bCs/>
          <w:sz w:val="24"/>
        </w:rPr>
        <w:t>信托财产交付日</w:t>
      </w:r>
      <w:r>
        <w:rPr>
          <w:rFonts w:eastAsia="楷体_GB2312"/>
          <w:kern w:val="0"/>
          <w:sz w:val="24"/>
        </w:rPr>
        <w:t>”之后起至该日之前，有关该档“资产支持证券”的所有已经偿还的本金。</w:t>
      </w:r>
    </w:p>
    <w:p w14:paraId="0EE00A59">
      <w:pPr>
        <w:tabs>
          <w:tab w:val="left" w:pos="425"/>
          <w:tab w:val="left" w:pos="851"/>
        </w:tabs>
        <w:spacing w:before="156" w:beforeLines="50" w:after="156" w:afterLines="50" w:line="360" w:lineRule="auto"/>
        <w:ind w:left="851"/>
        <w:rPr>
          <w:rFonts w:eastAsia="楷体_GB2312"/>
          <w:b/>
          <w:bCs/>
          <w:sz w:val="24"/>
        </w:rPr>
      </w:pPr>
      <w:r>
        <w:rPr>
          <w:rFonts w:eastAsia="楷体_GB2312"/>
          <w:b/>
          <w:i/>
          <w:color w:val="FF0000"/>
          <w:kern w:val="0"/>
          <w:sz w:val="24"/>
        </w:rPr>
        <w:t>【注：1、未偿本金余额是否考虑贷款可能被核销的影响，可以根据项目具体情形修改。2、初始起算日本金余额的具体时点以“初始起算日本金余额”的定义为准。3、至“该日之前”系指前一日24:00。】</w:t>
      </w:r>
    </w:p>
    <w:p w14:paraId="43F9B027">
      <w:pPr>
        <w:numPr>
          <w:ilvl w:val="1"/>
          <w:numId w:val="5"/>
        </w:numPr>
        <w:tabs>
          <w:tab w:val="left" w:pos="851"/>
        </w:tabs>
        <w:spacing w:before="156" w:beforeLines="50" w:after="156" w:afterLines="50" w:line="360" w:lineRule="auto"/>
        <w:ind w:left="851" w:hanging="851"/>
        <w:rPr>
          <w:rFonts w:eastAsia="楷体_GB2312"/>
          <w:b/>
          <w:bCs/>
          <w:sz w:val="24"/>
        </w:rPr>
      </w:pPr>
      <w:r>
        <w:rPr>
          <w:rFonts w:eastAsia="楷体_GB2312"/>
          <w:b/>
          <w:color w:val="000000" w:themeColor="text1"/>
          <w:sz w:val="24"/>
          <w14:textFill>
            <w14:solidFill>
              <w14:schemeClr w14:val="tx1"/>
            </w14:solidFill>
          </w14:textFill>
        </w:rPr>
        <w:t>未偿</w:t>
      </w:r>
      <w:r>
        <w:rPr>
          <w:rFonts w:eastAsia="楷体_GB2312"/>
          <w:b/>
          <w:bCs/>
          <w:color w:val="000000" w:themeColor="text1"/>
          <w:sz w:val="24"/>
          <w14:textFill>
            <w14:solidFill>
              <w14:schemeClr w14:val="tx1"/>
            </w14:solidFill>
          </w14:textFill>
        </w:rPr>
        <w:t>资产池余额</w:t>
      </w:r>
      <w:r>
        <w:rPr>
          <w:rFonts w:eastAsia="楷体_GB2312"/>
          <w:bCs/>
          <w:color w:val="000000" w:themeColor="text1"/>
          <w:sz w:val="24"/>
          <w14:textFill>
            <w14:solidFill>
              <w14:schemeClr w14:val="tx1"/>
            </w14:solidFill>
          </w14:textFill>
        </w:rPr>
        <w:t>：</w:t>
      </w:r>
      <w:r>
        <w:rPr>
          <w:rFonts w:eastAsia="楷体_GB2312"/>
          <w:kern w:val="0"/>
          <w:sz w:val="24"/>
        </w:rPr>
        <w:t>就某一日期的</w:t>
      </w:r>
      <w:r>
        <w:rPr>
          <w:rFonts w:hint="eastAsia" w:eastAsia="楷体_GB2312"/>
          <w:kern w:val="0"/>
          <w:sz w:val="24"/>
        </w:rPr>
        <w:t>全部</w:t>
      </w:r>
      <w:r>
        <w:rPr>
          <w:rFonts w:eastAsia="楷体_GB2312"/>
          <w:kern w:val="0"/>
          <w:sz w:val="24"/>
        </w:rPr>
        <w:t>“贷款”而言</w:t>
      </w:r>
      <w:r>
        <w:rPr>
          <w:rFonts w:eastAsia="楷体_GB2312"/>
          <w:bCs/>
          <w:color w:val="000000" w:themeColor="text1"/>
          <w:sz w:val="24"/>
          <w14:textFill>
            <w14:solidFill>
              <w14:schemeClr w14:val="tx1"/>
            </w14:solidFill>
          </w14:textFill>
        </w:rPr>
        <w:t>，系指A-B：A指“初始起算日资产池余额”；B指自“初始起算日”起至该日之前，有关</w:t>
      </w:r>
      <w:r>
        <w:rPr>
          <w:rFonts w:hint="eastAsia" w:eastAsia="楷体_GB2312"/>
          <w:bCs/>
          <w:color w:val="000000" w:themeColor="text1"/>
          <w:sz w:val="24"/>
          <w14:textFill>
            <w14:solidFill>
              <w14:schemeClr w14:val="tx1"/>
            </w14:solidFill>
          </w14:textFill>
        </w:rPr>
        <w:t>全部</w:t>
      </w:r>
      <w:r>
        <w:rPr>
          <w:rFonts w:eastAsia="楷体_GB2312"/>
          <w:kern w:val="0"/>
          <w:sz w:val="24"/>
        </w:rPr>
        <w:t>“贷款”</w:t>
      </w:r>
      <w:r>
        <w:rPr>
          <w:rFonts w:eastAsia="楷体_GB2312"/>
          <w:bCs/>
          <w:color w:val="000000" w:themeColor="text1"/>
          <w:sz w:val="24"/>
          <w14:textFill>
            <w14:solidFill>
              <w14:schemeClr w14:val="tx1"/>
            </w14:solidFill>
          </w14:textFill>
        </w:rPr>
        <w:t>的所有已经偿还的本金、利息及其他款项。</w:t>
      </w:r>
    </w:p>
    <w:p w14:paraId="5CE7AE5E">
      <w:pPr>
        <w:tabs>
          <w:tab w:val="left" w:pos="425"/>
          <w:tab w:val="left" w:pos="720"/>
          <w:tab w:val="left" w:pos="851"/>
        </w:tabs>
        <w:spacing w:before="156" w:beforeLines="50" w:after="156" w:afterLines="50" w:line="360" w:lineRule="auto"/>
        <w:ind w:left="851"/>
        <w:rPr>
          <w:rFonts w:eastAsia="楷体_GB2312"/>
          <w:b/>
          <w:bCs/>
          <w:sz w:val="24"/>
        </w:rPr>
      </w:pPr>
      <w:r>
        <w:rPr>
          <w:rFonts w:eastAsia="楷体_GB2312"/>
          <w:b/>
          <w:bCs/>
          <w:i/>
          <w:iCs/>
          <w:color w:val="FF0000"/>
          <w:sz w:val="24"/>
        </w:rPr>
        <w:t>【注：未偿本金余额仅指资产未偿的本金余额，未偿资产池余额指未偿付的资产池本金、利息及费用（如有）之和。可具体结合资产池特征与披露要求灵活使用该等定义。】</w:t>
      </w:r>
    </w:p>
    <w:p w14:paraId="3F19430F">
      <w:pPr>
        <w:numPr>
          <w:ilvl w:val="1"/>
          <w:numId w:val="5"/>
        </w:numPr>
        <w:tabs>
          <w:tab w:val="left" w:pos="851"/>
        </w:tabs>
        <w:spacing w:before="156" w:beforeLines="50" w:after="156" w:afterLines="50" w:line="360" w:lineRule="auto"/>
        <w:ind w:left="851" w:hanging="851"/>
        <w:rPr>
          <w:rFonts w:eastAsia="楷体_GB2312"/>
          <w:b/>
          <w:bCs/>
          <w:sz w:val="24"/>
        </w:rPr>
      </w:pPr>
      <w:r>
        <w:rPr>
          <w:rFonts w:eastAsia="楷体_GB2312"/>
          <w:b/>
          <w:bCs/>
          <w:sz w:val="24"/>
        </w:rPr>
        <w:t>次级期间收益：</w:t>
      </w:r>
      <w:r>
        <w:rPr>
          <w:rFonts w:eastAsia="楷体_GB2312"/>
          <w:bCs/>
          <w:sz w:val="24"/>
        </w:rPr>
        <w:t>系指“次级资产支持证券”的期间收益，即在“优先级资产支持证券”本金兑付完毕前且未发生任何</w:t>
      </w:r>
      <w:r>
        <w:rPr>
          <w:rFonts w:eastAsia="楷体_GB2312"/>
          <w:sz w:val="24"/>
        </w:rPr>
        <w:t>“加速清偿事件”</w:t>
      </w:r>
      <w:r>
        <w:rPr>
          <w:rFonts w:eastAsia="楷体_GB2312"/>
          <w:bCs/>
          <w:sz w:val="24"/>
        </w:rPr>
        <w:t>或“违约事件”且“信托”终止前，“次级资产支持证券”于每个“支付日”按照“《信托合同》”第【7.5】款和第</w:t>
      </w:r>
      <w:r>
        <w:rPr>
          <w:rFonts w:hint="eastAsia" w:eastAsia="楷体_GB2312"/>
          <w:bCs/>
          <w:sz w:val="24"/>
        </w:rPr>
        <w:t>【</w:t>
      </w:r>
      <w:r>
        <w:rPr>
          <w:rFonts w:eastAsia="楷体_GB2312"/>
          <w:bCs/>
          <w:sz w:val="24"/>
        </w:rPr>
        <w:t>10</w:t>
      </w:r>
      <w:r>
        <w:rPr>
          <w:rFonts w:hint="eastAsia" w:eastAsia="楷体_GB2312"/>
          <w:bCs/>
          <w:sz w:val="24"/>
        </w:rPr>
        <w:t>】</w:t>
      </w:r>
      <w:r>
        <w:rPr>
          <w:rFonts w:eastAsia="楷体_GB2312"/>
          <w:bCs/>
          <w:sz w:val="24"/>
        </w:rPr>
        <w:t>条约定的计算方式和支付顺序可获得的当个“计息期间”的收益。</w:t>
      </w:r>
      <w:r>
        <w:rPr>
          <w:rFonts w:eastAsia="楷体_GB2312"/>
          <w:sz w:val="24"/>
        </w:rPr>
        <w:t>为免疑义，每个“支付日”支付的期间收益仅指当个“计息期间”的期间收益，无需对之前一个或多个“支付日”未获偿付或未完全偿付的期间收益进行补偿。</w:t>
      </w:r>
    </w:p>
    <w:p w14:paraId="472E7A67">
      <w:pPr>
        <w:tabs>
          <w:tab w:val="left" w:pos="425"/>
          <w:tab w:val="left" w:pos="720"/>
          <w:tab w:val="left" w:pos="851"/>
        </w:tabs>
        <w:spacing w:before="156" w:beforeLines="50" w:after="156" w:afterLines="50" w:line="360" w:lineRule="auto"/>
        <w:ind w:left="851"/>
        <w:rPr>
          <w:rFonts w:eastAsia="楷体_GB2312"/>
          <w:b/>
          <w:bCs/>
          <w:i/>
          <w:iCs/>
          <w:color w:val="FF0000"/>
          <w:sz w:val="24"/>
        </w:rPr>
      </w:pPr>
      <w:r>
        <w:rPr>
          <w:rFonts w:eastAsia="楷体_GB2312"/>
          <w:b/>
          <w:bCs/>
          <w:i/>
          <w:iCs/>
          <w:color w:val="FF0000"/>
          <w:sz w:val="24"/>
        </w:rPr>
        <w:t>【注：次级期间收益可根据项目情况确定是否设置以及可获分配的计算方式、分配顺序等。】</w:t>
      </w:r>
    </w:p>
    <w:p w14:paraId="5D1AA718">
      <w:pPr>
        <w:pStyle w:val="6"/>
        <w:numPr>
          <w:ilvl w:val="0"/>
          <w:numId w:val="6"/>
        </w:numPr>
        <w:spacing w:before="156" w:beforeLines="50" w:after="156" w:afterLines="50" w:line="360" w:lineRule="auto"/>
        <w:ind w:leftChars="0"/>
        <w:outlineLvl w:val="2"/>
        <w:rPr>
          <w:rFonts w:eastAsia="楷体_GB2312"/>
          <w:b/>
          <w:sz w:val="24"/>
        </w:rPr>
      </w:pPr>
      <w:bookmarkStart w:id="27" w:name="_Toc173860438"/>
      <w:r>
        <w:rPr>
          <w:rFonts w:eastAsia="楷体_GB2312"/>
          <w:b/>
          <w:sz w:val="24"/>
        </w:rPr>
        <w:t>信托账户相关的定义</w:t>
      </w:r>
      <w:bookmarkEnd w:id="27"/>
    </w:p>
    <w:p w14:paraId="62893037">
      <w:pPr>
        <w:numPr>
          <w:ilvl w:val="1"/>
          <w:numId w:val="5"/>
        </w:numPr>
        <w:tabs>
          <w:tab w:val="left" w:pos="851"/>
          <w:tab w:val="clear" w:pos="720"/>
        </w:tabs>
        <w:spacing w:before="156" w:beforeLines="50" w:after="156" w:afterLines="50" w:line="360" w:lineRule="auto"/>
        <w:ind w:left="851" w:hanging="851"/>
        <w:rPr>
          <w:rFonts w:eastAsia="楷体_GB2312"/>
          <w:b/>
          <w:bCs/>
          <w:color w:val="FF0000"/>
          <w:sz w:val="24"/>
        </w:rPr>
      </w:pPr>
      <w:r>
        <w:rPr>
          <w:rFonts w:eastAsia="楷体_GB2312"/>
          <w:b/>
          <w:bCs/>
          <w:sz w:val="24"/>
        </w:rPr>
        <w:t>信托账户：</w:t>
      </w:r>
      <w:r>
        <w:rPr>
          <w:rFonts w:eastAsia="楷体_GB2312"/>
          <w:bCs/>
          <w:sz w:val="24"/>
        </w:rPr>
        <w:t>系指“受托人”专门在“资金保管机构”为“信托”而开立的独立人民币账户，用于归集、存放货币形态的“信托财产收益”、“流动性储备金限额”（如有）、向“受益人”支付相应的“信托利益”及支付其他相关费用的银行保管账户，账户名称为【】，账号信息：账号【】，开户银行【】，大额支付行号【】。</w:t>
      </w:r>
    </w:p>
    <w:p w14:paraId="440B886B">
      <w:pPr>
        <w:tabs>
          <w:tab w:val="left" w:pos="851"/>
        </w:tabs>
        <w:spacing w:before="156" w:beforeLines="50" w:after="156" w:afterLines="50" w:line="360" w:lineRule="auto"/>
        <w:ind w:left="851"/>
        <w:rPr>
          <w:rFonts w:eastAsia="楷体_GB2312"/>
          <w:b/>
          <w:bCs/>
          <w:i/>
          <w:iCs/>
          <w:color w:val="FF0000"/>
          <w:sz w:val="24"/>
        </w:rPr>
      </w:pPr>
      <w:r>
        <w:rPr>
          <w:rFonts w:eastAsia="楷体_GB2312"/>
          <w:b/>
          <w:bCs/>
          <w:i/>
          <w:iCs/>
          <w:color w:val="FF0000"/>
          <w:sz w:val="24"/>
        </w:rPr>
        <w:t>【注：</w:t>
      </w:r>
      <w:bookmarkStart w:id="28" w:name="_Hlk220165345"/>
      <w:r>
        <w:rPr>
          <w:rFonts w:eastAsia="楷体_GB2312"/>
          <w:b/>
          <w:bCs/>
          <w:i/>
          <w:iCs/>
          <w:color w:val="FF0000"/>
          <w:sz w:val="24"/>
        </w:rPr>
        <w:t>信托账户可直接在本条约定中予以约定具体的信托账户信息，亦可在协议之外另行由受托人通知</w:t>
      </w:r>
      <w:bookmarkEnd w:id="28"/>
      <w:r>
        <w:rPr>
          <w:rFonts w:eastAsia="楷体_GB2312"/>
          <w:b/>
          <w:bCs/>
          <w:i/>
          <w:iCs/>
          <w:color w:val="FF0000"/>
          <w:sz w:val="24"/>
        </w:rPr>
        <w:t>。】</w:t>
      </w:r>
    </w:p>
    <w:p w14:paraId="097D53EE">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信托账：</w:t>
      </w:r>
      <w:r>
        <w:rPr>
          <w:rFonts w:eastAsia="楷体_GB2312"/>
          <w:bCs/>
          <w:sz w:val="24"/>
        </w:rPr>
        <w:t>系指“受托人”设立的，用以记录“信托财产收益”的收支情况的会计账。“信托账”下设立子账，即“收益账”、“本金账”、“储备金账”和“税收专用账”。</w:t>
      </w:r>
    </w:p>
    <w:p w14:paraId="280989E2">
      <w:pPr>
        <w:tabs>
          <w:tab w:val="left" w:pos="851"/>
        </w:tabs>
        <w:spacing w:before="156" w:beforeLines="50" w:after="156" w:afterLines="50" w:line="360" w:lineRule="auto"/>
        <w:ind w:left="851"/>
        <w:rPr>
          <w:rFonts w:eastAsia="楷体_GB2312"/>
          <w:b/>
          <w:bCs/>
          <w:i/>
          <w:color w:val="FF0000"/>
          <w:sz w:val="24"/>
        </w:rPr>
      </w:pPr>
      <w:bookmarkStart w:id="29" w:name="_Hlk220165387"/>
      <w:r>
        <w:rPr>
          <w:rFonts w:eastAsia="楷体_GB2312"/>
          <w:b/>
          <w:bCs/>
          <w:i/>
          <w:color w:val="FF0000"/>
          <w:sz w:val="24"/>
        </w:rPr>
        <w:t>【注：信托账的设置可根据项目实际需要灵活设置与调整，仅供参考。】</w:t>
      </w:r>
      <w:bookmarkEnd w:id="29"/>
    </w:p>
    <w:p w14:paraId="10FB7454">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收益账：</w:t>
      </w:r>
      <w:r>
        <w:rPr>
          <w:rFonts w:eastAsia="楷体_GB2312"/>
          <w:bCs/>
          <w:sz w:val="24"/>
        </w:rPr>
        <w:t>系指“受托人”在“信托账”下设立的，用于核算“收入回收款”的子账。</w:t>
      </w:r>
    </w:p>
    <w:p w14:paraId="19AA6A19">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本金账：</w:t>
      </w:r>
      <w:r>
        <w:rPr>
          <w:rFonts w:eastAsia="楷体_GB2312"/>
          <w:bCs/>
          <w:sz w:val="24"/>
        </w:rPr>
        <w:t>系指“受托人”在“信托账”下设立的，用于核算“本金回收款”的子账。</w:t>
      </w:r>
    </w:p>
    <w:p w14:paraId="39B501AC">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税收专用账：</w:t>
      </w:r>
      <w:r>
        <w:rPr>
          <w:rFonts w:eastAsia="楷体_GB2312"/>
          <w:bCs/>
          <w:sz w:val="24"/>
        </w:rPr>
        <w:t>系指“受托人”在“信托账”下设立的，用于核算“信托账户”中将专项用于支付“《信托合同》”中约定的与“信托”相关的税收的款项提取和支付情况的子账。</w:t>
      </w:r>
    </w:p>
    <w:p w14:paraId="700DECFD">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color w:val="000000" w:themeColor="text1"/>
          <w:sz w:val="24"/>
          <w14:textFill>
            <w14:solidFill>
              <w14:schemeClr w14:val="tx1"/>
            </w14:solidFill>
          </w14:textFill>
        </w:rPr>
        <w:t>储备金账：</w:t>
      </w:r>
      <w:r>
        <w:rPr>
          <w:rFonts w:eastAsia="楷体_GB2312"/>
          <w:bCs/>
          <w:color w:val="000000" w:themeColor="text1"/>
          <w:sz w:val="24"/>
          <w14:textFill>
            <w14:solidFill>
              <w14:schemeClr w14:val="tx1"/>
            </w14:solidFill>
          </w14:textFill>
        </w:rPr>
        <w:t>系指“受托人”在“信托账”下设立的，根据“《信托合同》”的约定</w:t>
      </w:r>
      <w:r>
        <w:rPr>
          <w:rFonts w:eastAsia="楷体_GB2312"/>
          <w:bCs/>
          <w:sz w:val="24"/>
        </w:rPr>
        <w:t>用于存放“流动性储备金限额”的子账。</w:t>
      </w:r>
    </w:p>
    <w:p w14:paraId="61498704">
      <w:pPr>
        <w:pStyle w:val="6"/>
        <w:numPr>
          <w:ilvl w:val="0"/>
          <w:numId w:val="3"/>
        </w:numPr>
        <w:spacing w:before="156" w:beforeLines="50" w:after="156" w:afterLines="50" w:line="360" w:lineRule="auto"/>
        <w:ind w:leftChars="0"/>
        <w:outlineLvl w:val="1"/>
        <w:rPr>
          <w:rFonts w:eastAsia="楷体_GB2312"/>
          <w:b/>
          <w:sz w:val="24"/>
        </w:rPr>
      </w:pPr>
      <w:bookmarkStart w:id="30" w:name="_Toc173860439"/>
      <w:r>
        <w:rPr>
          <w:rFonts w:eastAsia="楷体_GB2312"/>
          <w:b/>
          <w:sz w:val="24"/>
        </w:rPr>
        <w:t>日期、期间和报告的定义</w:t>
      </w:r>
      <w:bookmarkEnd w:id="30"/>
    </w:p>
    <w:p w14:paraId="5CCD8DE0">
      <w:pPr>
        <w:pStyle w:val="6"/>
        <w:spacing w:before="156" w:beforeLines="50" w:after="156" w:afterLines="50" w:line="360" w:lineRule="auto"/>
        <w:ind w:leftChars="0" w:firstLine="420"/>
        <w:rPr>
          <w:rFonts w:eastAsia="楷体_GB2312"/>
          <w:b/>
          <w:bCs/>
          <w:i/>
          <w:iCs/>
          <w:color w:val="FF0000"/>
          <w:sz w:val="24"/>
        </w:rPr>
      </w:pPr>
      <w:r>
        <w:rPr>
          <w:rFonts w:eastAsia="楷体_GB2312"/>
          <w:b/>
          <w:bCs/>
          <w:i/>
          <w:iCs/>
          <w:color w:val="FF0000"/>
          <w:sz w:val="24"/>
        </w:rPr>
        <w:t>【注：具体日期等安排可视项目实际情况予以调整或增减。】</w:t>
      </w:r>
    </w:p>
    <w:p w14:paraId="54C8BA04">
      <w:pPr>
        <w:pStyle w:val="6"/>
        <w:numPr>
          <w:ilvl w:val="0"/>
          <w:numId w:val="12"/>
        </w:numPr>
        <w:spacing w:before="156" w:beforeLines="50" w:after="156" w:afterLines="50" w:line="360" w:lineRule="auto"/>
        <w:ind w:leftChars="0"/>
        <w:outlineLvl w:val="2"/>
        <w:rPr>
          <w:rFonts w:eastAsia="楷体_GB2312"/>
          <w:b/>
          <w:sz w:val="24"/>
        </w:rPr>
      </w:pPr>
      <w:bookmarkStart w:id="31" w:name="_Toc173860440"/>
      <w:r>
        <w:rPr>
          <w:rFonts w:eastAsia="楷体_GB2312"/>
          <w:b/>
          <w:sz w:val="24"/>
        </w:rPr>
        <w:t>日期类</w:t>
      </w:r>
      <w:bookmarkEnd w:id="31"/>
      <w:r>
        <w:rPr>
          <w:rFonts w:hint="eastAsia" w:eastAsia="楷体_GB2312"/>
          <w:b/>
          <w:sz w:val="24"/>
        </w:rPr>
        <w:t>的定义</w:t>
      </w:r>
    </w:p>
    <w:p w14:paraId="33951E05">
      <w:pPr>
        <w:numPr>
          <w:ilvl w:val="1"/>
          <w:numId w:val="5"/>
        </w:numPr>
        <w:tabs>
          <w:tab w:val="left" w:pos="851"/>
        </w:tabs>
        <w:spacing w:before="156" w:beforeLines="50" w:after="156" w:afterLines="50" w:line="360" w:lineRule="auto"/>
        <w:ind w:left="851" w:hanging="851"/>
        <w:rPr>
          <w:rFonts w:eastAsia="楷体_GB2312"/>
          <w:bCs/>
          <w:sz w:val="24"/>
        </w:rPr>
      </w:pPr>
      <w:r>
        <w:rPr>
          <w:rFonts w:eastAsia="楷体_GB2312"/>
          <w:b/>
          <w:sz w:val="24"/>
        </w:rPr>
        <w:t>初始起算日</w:t>
      </w:r>
      <w:r>
        <w:rPr>
          <w:rFonts w:eastAsia="楷体_GB2312"/>
          <w:sz w:val="24"/>
        </w:rPr>
        <w:t>：系指【】年【】月【】日【</w:t>
      </w:r>
      <w:bookmarkStart w:id="32" w:name="_Hlk220165401"/>
      <w:r>
        <w:rPr>
          <w:rFonts w:eastAsia="楷体_GB2312"/>
          <w:bCs/>
          <w:i/>
          <w:iCs/>
          <w:sz w:val="24"/>
        </w:rPr>
        <w:t>具体时点</w:t>
      </w:r>
      <w:r>
        <w:rPr>
          <w:rFonts w:eastAsia="楷体_GB2312"/>
          <w:sz w:val="24"/>
        </w:rPr>
        <w:t>】</w:t>
      </w:r>
      <w:bookmarkEnd w:id="32"/>
      <w:r>
        <w:rPr>
          <w:rFonts w:eastAsia="楷体_GB2312"/>
          <w:sz w:val="24"/>
        </w:rPr>
        <w:t>。</w:t>
      </w:r>
    </w:p>
    <w:p w14:paraId="7AAD753D">
      <w:pPr>
        <w:numPr>
          <w:ilvl w:val="1"/>
          <w:numId w:val="5"/>
        </w:numPr>
        <w:tabs>
          <w:tab w:val="left" w:pos="851"/>
        </w:tabs>
        <w:spacing w:before="156" w:beforeLines="50" w:after="156" w:afterLines="50" w:line="360" w:lineRule="auto"/>
        <w:ind w:left="851" w:hanging="851"/>
        <w:rPr>
          <w:rFonts w:eastAsia="楷体_GB2312"/>
          <w:b/>
          <w:bCs/>
          <w:sz w:val="24"/>
        </w:rPr>
      </w:pPr>
      <w:r>
        <w:rPr>
          <w:rFonts w:eastAsia="楷体_GB2312"/>
          <w:b/>
          <w:bCs/>
          <w:sz w:val="24"/>
        </w:rPr>
        <w:t>回购起算日：</w:t>
      </w:r>
      <w:r>
        <w:rPr>
          <w:rFonts w:eastAsia="楷体_GB2312"/>
          <w:sz w:val="24"/>
        </w:rPr>
        <w:t>就“《信托合同》”约定的“不合格信贷资产”的“赎回”而言，</w:t>
      </w:r>
      <w:r>
        <w:rPr>
          <w:rFonts w:eastAsia="楷体_GB2312"/>
          <w:bCs/>
          <w:sz w:val="24"/>
        </w:rPr>
        <w:t>“</w:t>
      </w:r>
      <w:r>
        <w:rPr>
          <w:rFonts w:eastAsia="楷体_GB2312"/>
          <w:sz w:val="24"/>
        </w:rPr>
        <w:t>回购起算日</w:t>
      </w:r>
      <w:r>
        <w:rPr>
          <w:rFonts w:eastAsia="楷体_GB2312"/>
          <w:bCs/>
          <w:sz w:val="24"/>
        </w:rPr>
        <w:t>”</w:t>
      </w:r>
      <w:r>
        <w:rPr>
          <w:rFonts w:eastAsia="楷体_GB2312"/>
          <w:sz w:val="24"/>
        </w:rPr>
        <w:t>系指</w:t>
      </w:r>
      <w:bookmarkStart w:id="33" w:name="_Hlk52282263"/>
      <w:r>
        <w:rPr>
          <w:rFonts w:eastAsia="楷体_GB2312"/>
          <w:sz w:val="24"/>
        </w:rPr>
        <w:t>“受托人”提出</w:t>
      </w:r>
      <w:r>
        <w:rPr>
          <w:rFonts w:eastAsia="楷体_GB2312"/>
          <w:bCs/>
          <w:sz w:val="24"/>
        </w:rPr>
        <w:t>“</w:t>
      </w:r>
      <w:r>
        <w:rPr>
          <w:rFonts w:eastAsia="楷体_GB2312"/>
          <w:sz w:val="24"/>
        </w:rPr>
        <w:t>赎回</w:t>
      </w:r>
      <w:r>
        <w:rPr>
          <w:rFonts w:eastAsia="楷体_GB2312"/>
          <w:bCs/>
          <w:sz w:val="24"/>
        </w:rPr>
        <w:t>”</w:t>
      </w:r>
      <w:r>
        <w:rPr>
          <w:rFonts w:eastAsia="楷体_GB2312"/>
          <w:sz w:val="24"/>
        </w:rPr>
        <w:t>相应“不合格信贷资产”要求</w:t>
      </w:r>
      <w:bookmarkEnd w:id="33"/>
      <w:r>
        <w:rPr>
          <w:rFonts w:eastAsia="楷体_GB2312"/>
          <w:sz w:val="24"/>
        </w:rPr>
        <w:t>的那个“收款期间”的最后一日或“委托人”和“受托人”另行商定的日期；</w:t>
      </w:r>
      <w:r>
        <w:rPr>
          <w:rFonts w:eastAsia="楷体_GB2312"/>
          <w:kern w:val="0"/>
          <w:sz w:val="24"/>
        </w:rPr>
        <w:t>但如果“委托人”在首个“收款期间”结束前“赎回”“不合格信贷资产”，则除非“委托人”和“受托人”另有约定，该等“赎回”的“回购起算日”为“初始起算日”</w:t>
      </w:r>
      <w:r>
        <w:rPr>
          <w:rFonts w:eastAsia="楷体_GB2312"/>
          <w:sz w:val="24"/>
        </w:rPr>
        <w:t>。就“《信托合同》”约定的“清仓回购”而言，</w:t>
      </w:r>
      <w:r>
        <w:rPr>
          <w:rFonts w:eastAsia="楷体_GB2312"/>
          <w:bCs/>
          <w:sz w:val="24"/>
        </w:rPr>
        <w:t>“</w:t>
      </w:r>
      <w:r>
        <w:rPr>
          <w:rFonts w:eastAsia="楷体_GB2312"/>
          <w:sz w:val="24"/>
        </w:rPr>
        <w:t>回购起算日</w:t>
      </w:r>
      <w:r>
        <w:rPr>
          <w:rFonts w:eastAsia="楷体_GB2312"/>
          <w:bCs/>
          <w:sz w:val="24"/>
        </w:rPr>
        <w:t>”</w:t>
      </w:r>
      <w:r>
        <w:rPr>
          <w:rFonts w:eastAsia="楷体_GB2312"/>
          <w:sz w:val="24"/>
        </w:rPr>
        <w:t>系指“委托人”向“受托人”发出</w:t>
      </w:r>
      <w:r>
        <w:rPr>
          <w:rFonts w:eastAsia="楷体_GB2312"/>
          <w:bCs/>
          <w:color w:val="000000" w:themeColor="text1"/>
          <w:sz w:val="24"/>
          <w14:textFill>
            <w14:solidFill>
              <w14:schemeClr w14:val="tx1"/>
            </w14:solidFill>
          </w14:textFill>
        </w:rPr>
        <w:t>清仓回购通知</w:t>
      </w:r>
      <w:r>
        <w:rPr>
          <w:rFonts w:eastAsia="楷体_GB2312"/>
          <w:sz w:val="24"/>
        </w:rPr>
        <w:t>的那个“收款期间”之前一个“收款期间”的最后一日或“委托人”和“受托人”另行商定的日期。</w:t>
      </w:r>
    </w:p>
    <w:p w14:paraId="6B7793AD">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簿记建档日：</w:t>
      </w:r>
      <w:r>
        <w:rPr>
          <w:rFonts w:eastAsia="楷体_GB2312"/>
          <w:sz w:val="24"/>
        </w:rPr>
        <w:t>系指“发行人”以簿记建档方式发行“资产支持证券”的日期，具体以发行公告所载日期为准。</w:t>
      </w:r>
    </w:p>
    <w:p w14:paraId="6569510D">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缴款截止日：</w:t>
      </w:r>
      <w:r>
        <w:rPr>
          <w:rFonts w:eastAsia="楷体_GB2312"/>
          <w:bCs/>
          <w:sz w:val="24"/>
        </w:rPr>
        <w:t>系指</w:t>
      </w:r>
      <w:r>
        <w:rPr>
          <w:rFonts w:eastAsia="楷体_GB2312"/>
          <w:color w:val="000000"/>
          <w:sz w:val="24"/>
        </w:rPr>
        <w:t>各“承销团”成员将各自所获配售额度对应的募集款项全额划至“</w:t>
      </w:r>
      <w:r>
        <w:rPr>
          <w:rFonts w:eastAsia="楷体_GB2312"/>
          <w:sz w:val="24"/>
        </w:rPr>
        <w:t>簿记管理人</w:t>
      </w:r>
      <w:r>
        <w:rPr>
          <w:rFonts w:eastAsia="楷体_GB2312"/>
          <w:color w:val="000000"/>
          <w:sz w:val="24"/>
        </w:rPr>
        <w:t>”指定的银行账户的截止日期。具体日期以</w:t>
      </w:r>
      <w:r>
        <w:rPr>
          <w:rFonts w:eastAsia="楷体_GB2312"/>
          <w:bCs/>
          <w:color w:val="000000"/>
          <w:sz w:val="24"/>
        </w:rPr>
        <w:t>“</w:t>
      </w:r>
      <w:r>
        <w:rPr>
          <w:rFonts w:eastAsia="楷体_GB2312"/>
          <w:color w:val="000000"/>
          <w:sz w:val="24"/>
        </w:rPr>
        <w:t>发行文件”所载日期为准</w:t>
      </w:r>
      <w:r>
        <w:rPr>
          <w:rFonts w:eastAsia="楷体_GB2312"/>
          <w:bCs/>
          <w:sz w:val="24"/>
        </w:rPr>
        <w:t>。</w:t>
      </w:r>
    </w:p>
    <w:p w14:paraId="14574DA5">
      <w:pPr>
        <w:pStyle w:val="6"/>
        <w:spacing w:before="156" w:beforeLines="50" w:after="156" w:afterLines="50" w:line="360" w:lineRule="auto"/>
        <w:ind w:leftChars="0" w:firstLine="420"/>
        <w:rPr>
          <w:rFonts w:eastAsia="楷体_GB2312"/>
          <w:b/>
          <w:bCs/>
          <w:i/>
          <w:iCs/>
          <w:color w:val="FF0000"/>
          <w:sz w:val="24"/>
        </w:rPr>
      </w:pPr>
      <w:r>
        <w:rPr>
          <w:rFonts w:hint="eastAsia" w:eastAsia="楷体_GB2312"/>
          <w:b/>
          <w:bCs/>
          <w:i/>
          <w:iCs/>
          <w:color w:val="FF0000"/>
          <w:sz w:val="24"/>
        </w:rPr>
        <w:t>【注：如为招标发行，则相应调整发行相关的定义与表述。】</w:t>
      </w:r>
    </w:p>
    <w:p w14:paraId="744A7852">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信托财产交付日：</w:t>
      </w:r>
      <w:r>
        <w:rPr>
          <w:rFonts w:eastAsia="楷体_GB2312"/>
          <w:bCs/>
          <w:sz w:val="24"/>
        </w:rPr>
        <w:t>系指“委托人”将“信托财产”交付给“受托人”之日。“信托财产交付日”的具体日期以“发行文件”所载日期为准。</w:t>
      </w:r>
    </w:p>
    <w:p w14:paraId="67F6E9A2">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信托生效日：</w:t>
      </w:r>
      <w:r>
        <w:rPr>
          <w:rFonts w:eastAsia="楷体_GB2312"/>
          <w:bCs/>
          <w:sz w:val="24"/>
        </w:rPr>
        <w:t>系指“</w:t>
      </w:r>
      <w:r>
        <w:rPr>
          <w:rFonts w:eastAsia="楷体_GB2312"/>
          <w:sz w:val="24"/>
        </w:rPr>
        <w:t>委托人”</w:t>
      </w:r>
      <w:r>
        <w:rPr>
          <w:rFonts w:eastAsia="楷体_GB2312"/>
          <w:color w:val="000000"/>
          <w:sz w:val="24"/>
        </w:rPr>
        <w:t>将“《信托合同》”约定的相关文件交付给“受托人”且“受托人”核查该文件无误并签发确认函之日。在本</w:t>
      </w:r>
      <w:r>
        <w:rPr>
          <w:rFonts w:eastAsia="楷体_GB2312"/>
          <w:bCs/>
          <w:sz w:val="24"/>
        </w:rPr>
        <w:t>“</w:t>
      </w:r>
      <w:r>
        <w:rPr>
          <w:rFonts w:eastAsia="楷体_GB2312"/>
          <w:color w:val="000000"/>
          <w:sz w:val="24"/>
        </w:rPr>
        <w:t>信托</w:t>
      </w:r>
      <w:r>
        <w:rPr>
          <w:rFonts w:eastAsia="楷体_GB2312"/>
          <w:bCs/>
          <w:sz w:val="24"/>
        </w:rPr>
        <w:t>”</w:t>
      </w:r>
      <w:r>
        <w:rPr>
          <w:rFonts w:eastAsia="楷体_GB2312"/>
          <w:color w:val="000000"/>
          <w:sz w:val="24"/>
        </w:rPr>
        <w:t>中，</w:t>
      </w:r>
      <w:r>
        <w:rPr>
          <w:rFonts w:eastAsia="楷体_GB2312"/>
          <w:bCs/>
          <w:sz w:val="24"/>
        </w:rPr>
        <w:t>“</w:t>
      </w:r>
      <w:r>
        <w:rPr>
          <w:rFonts w:eastAsia="楷体_GB2312"/>
          <w:color w:val="000000"/>
          <w:sz w:val="24"/>
        </w:rPr>
        <w:t>信托生效日</w:t>
      </w:r>
      <w:r>
        <w:rPr>
          <w:rFonts w:eastAsia="楷体_GB2312"/>
          <w:bCs/>
          <w:sz w:val="24"/>
        </w:rPr>
        <w:t>”</w:t>
      </w:r>
      <w:r>
        <w:rPr>
          <w:rFonts w:eastAsia="楷体_GB2312"/>
          <w:color w:val="000000"/>
          <w:sz w:val="24"/>
        </w:rPr>
        <w:t>为“信托财产交付日”。</w:t>
      </w:r>
    </w:p>
    <w:p w14:paraId="066DD1D5">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起息日：</w:t>
      </w:r>
      <w:r>
        <w:rPr>
          <w:rFonts w:eastAsia="楷体_GB2312"/>
          <w:bCs/>
          <w:sz w:val="24"/>
        </w:rPr>
        <w:t>系指开始计算“资产支持证券”收益的日期，具体以“《发行说明书》”公告为准。</w:t>
      </w:r>
    </w:p>
    <w:p w14:paraId="3E179406">
      <w:pPr>
        <w:numPr>
          <w:ilvl w:val="1"/>
          <w:numId w:val="5"/>
        </w:numPr>
        <w:tabs>
          <w:tab w:val="left" w:pos="851"/>
          <w:tab w:val="clear" w:pos="720"/>
        </w:tabs>
        <w:spacing w:before="156" w:beforeLines="50" w:after="156" w:afterLines="50" w:line="360" w:lineRule="auto"/>
        <w:ind w:left="851" w:hanging="851"/>
        <w:rPr>
          <w:rFonts w:eastAsia="楷体_GB2312"/>
          <w:bCs/>
          <w:color w:val="0000FF"/>
          <w:sz w:val="24"/>
        </w:rPr>
      </w:pPr>
      <w:r>
        <w:rPr>
          <w:rFonts w:eastAsia="楷体_GB2312"/>
          <w:b/>
          <w:bCs/>
          <w:sz w:val="24"/>
        </w:rPr>
        <w:t>计算日：</w:t>
      </w:r>
      <w:r>
        <w:rPr>
          <w:rFonts w:eastAsia="楷体_GB2312"/>
          <w:bCs/>
          <w:sz w:val="24"/>
        </w:rPr>
        <w:t>系指</w:t>
      </w:r>
      <w:r>
        <w:rPr>
          <w:rFonts w:hint="eastAsia" w:eastAsia="楷体_GB2312"/>
          <w:sz w:val="24"/>
        </w:rPr>
        <w:t>【】</w:t>
      </w:r>
      <w:r>
        <w:rPr>
          <w:rFonts w:eastAsia="楷体_GB2312"/>
          <w:sz w:val="24"/>
        </w:rPr>
        <w:t>，其中，第一个计算日为【】年</w:t>
      </w:r>
      <w:r>
        <w:rPr>
          <w:rFonts w:eastAsia="楷体_GB2312"/>
          <w:bCs/>
          <w:sz w:val="24"/>
        </w:rPr>
        <w:t>【】</w:t>
      </w:r>
      <w:r>
        <w:rPr>
          <w:rFonts w:eastAsia="楷体_GB2312"/>
          <w:sz w:val="24"/>
        </w:rPr>
        <w:t>月【】日，最后一个“计算日”为“信托终止日”。</w:t>
      </w:r>
    </w:p>
    <w:p w14:paraId="29967423">
      <w:pPr>
        <w:pStyle w:val="6"/>
        <w:spacing w:before="156" w:beforeLines="50" w:after="156" w:afterLines="50" w:line="360" w:lineRule="auto"/>
        <w:ind w:leftChars="0" w:firstLine="420"/>
        <w:rPr>
          <w:rFonts w:eastAsia="楷体_GB2312"/>
          <w:b/>
          <w:bCs/>
          <w:i/>
          <w:iCs/>
          <w:color w:val="FF0000"/>
          <w:sz w:val="24"/>
        </w:rPr>
      </w:pPr>
      <w:r>
        <w:rPr>
          <w:rFonts w:hint="eastAsia" w:eastAsia="楷体_GB2312"/>
          <w:b/>
          <w:bCs/>
          <w:i/>
          <w:iCs/>
          <w:color w:val="FF0000"/>
          <w:sz w:val="24"/>
        </w:rPr>
        <w:t>【注：计算日可根据项目具体安排进行调整。】</w:t>
      </w:r>
    </w:p>
    <w:p w14:paraId="0BF220E9">
      <w:pPr>
        <w:numPr>
          <w:ilvl w:val="1"/>
          <w:numId w:val="5"/>
        </w:numPr>
        <w:tabs>
          <w:tab w:val="left" w:pos="851"/>
          <w:tab w:val="clear" w:pos="720"/>
        </w:tabs>
        <w:spacing w:before="156" w:beforeLines="50" w:after="156" w:afterLines="50" w:line="360" w:lineRule="auto"/>
        <w:ind w:left="851" w:hanging="851"/>
        <w:rPr>
          <w:rFonts w:eastAsia="楷体_GB2312"/>
          <w:bCs/>
          <w:color w:val="0000FF"/>
          <w:sz w:val="24"/>
        </w:rPr>
      </w:pPr>
      <w:r>
        <w:rPr>
          <w:rFonts w:eastAsia="楷体_GB2312"/>
          <w:b/>
          <w:bCs/>
          <w:sz w:val="24"/>
        </w:rPr>
        <w:t>回收款转付日：</w:t>
      </w:r>
      <w:r>
        <w:rPr>
          <w:rFonts w:eastAsia="楷体_GB2312"/>
          <w:bCs/>
          <w:sz w:val="24"/>
        </w:rPr>
        <w:t>系指“贷款服务机构”将收到的“回收款”划付至“信托账户”之日。“回收款转付日”按照如下规则确定：</w:t>
      </w:r>
    </w:p>
    <w:p w14:paraId="62E534FA">
      <w:pPr>
        <w:numPr>
          <w:ilvl w:val="0"/>
          <w:numId w:val="13"/>
        </w:numPr>
        <w:spacing w:before="156" w:beforeLines="50" w:after="156" w:afterLines="50" w:line="360" w:lineRule="auto"/>
        <w:rPr>
          <w:rFonts w:eastAsia="楷体_GB2312"/>
          <w:bCs/>
          <w:color w:val="0000FF"/>
          <w:sz w:val="24"/>
        </w:rPr>
      </w:pPr>
      <w:r>
        <w:rPr>
          <w:rFonts w:eastAsia="楷体_GB2312"/>
          <w:bCs/>
          <w:sz w:val="24"/>
        </w:rPr>
        <w:t>当“贷款服务机构”具备“必备评级等级”，“回收款转付日”为每个</w:t>
      </w:r>
      <w:r>
        <w:rPr>
          <w:rFonts w:eastAsia="楷体_GB2312"/>
          <w:sz w:val="24"/>
        </w:rPr>
        <w:t>“</w:t>
      </w:r>
      <w:r>
        <w:rPr>
          <w:rFonts w:eastAsia="楷体_GB2312"/>
          <w:bCs/>
          <w:sz w:val="24"/>
        </w:rPr>
        <w:t>计算日</w:t>
      </w:r>
      <w:r>
        <w:rPr>
          <w:rFonts w:eastAsia="楷体_GB2312"/>
          <w:sz w:val="24"/>
        </w:rPr>
        <w:t>”</w:t>
      </w:r>
      <w:r>
        <w:rPr>
          <w:rFonts w:eastAsia="楷体_GB2312"/>
          <w:bCs/>
          <w:sz w:val="24"/>
        </w:rPr>
        <w:t>后的第【】个“工作日”；</w:t>
      </w:r>
    </w:p>
    <w:p w14:paraId="0E2E4CB7">
      <w:pPr>
        <w:numPr>
          <w:ilvl w:val="0"/>
          <w:numId w:val="13"/>
        </w:numPr>
        <w:tabs>
          <w:tab w:val="left" w:pos="2356"/>
        </w:tabs>
        <w:spacing w:before="156" w:beforeLines="50" w:after="156" w:afterLines="50" w:line="360" w:lineRule="auto"/>
        <w:rPr>
          <w:rFonts w:eastAsia="楷体_GB2312"/>
          <w:bCs/>
          <w:color w:val="0000FF"/>
          <w:sz w:val="24"/>
        </w:rPr>
      </w:pPr>
      <w:bookmarkStart w:id="34" w:name="_Ref122945219"/>
      <w:r>
        <w:rPr>
          <w:rFonts w:eastAsia="楷体_GB2312"/>
          <w:bCs/>
          <w:sz w:val="24"/>
        </w:rPr>
        <w:t>当“贷款服务机构”丧失任一“必备评级等级”，</w:t>
      </w:r>
      <w:r>
        <w:rPr>
          <w:rFonts w:eastAsia="楷体_GB2312"/>
          <w:bCs/>
          <w:color w:val="000000" w:themeColor="text1"/>
          <w:sz w:val="24"/>
          <w14:textFill>
            <w14:solidFill>
              <w14:schemeClr w14:val="tx1"/>
            </w14:solidFill>
          </w14:textFill>
        </w:rPr>
        <w:t>“回收款转付日”为“贷款服务机构”收到每笔“回收款”后【】个“工作日”内的任一“工作日”</w:t>
      </w:r>
      <w:r>
        <w:rPr>
          <w:rFonts w:eastAsia="楷体_GB2312"/>
          <w:bCs/>
          <w:sz w:val="24"/>
        </w:rPr>
        <w:t>；</w:t>
      </w:r>
      <w:bookmarkEnd w:id="34"/>
    </w:p>
    <w:p w14:paraId="2141BF8E">
      <w:pPr>
        <w:numPr>
          <w:ilvl w:val="0"/>
          <w:numId w:val="13"/>
        </w:numPr>
        <w:tabs>
          <w:tab w:val="left" w:pos="2356"/>
        </w:tabs>
        <w:spacing w:before="156" w:beforeLines="50" w:after="156" w:afterLines="50" w:line="360" w:lineRule="auto"/>
        <w:rPr>
          <w:rFonts w:eastAsia="楷体_GB2312"/>
          <w:bCs/>
          <w:color w:val="0000FF"/>
          <w:sz w:val="24"/>
        </w:rPr>
      </w:pPr>
      <w:bookmarkStart w:id="35" w:name="_Ref51151887"/>
      <w:r>
        <w:rPr>
          <w:rFonts w:eastAsia="楷体_GB2312"/>
          <w:bCs/>
          <w:sz w:val="24"/>
        </w:rPr>
        <w:t>当</w:t>
      </w:r>
      <w:r>
        <w:rPr>
          <w:rFonts w:eastAsia="楷体_GB2312"/>
          <w:sz w:val="24"/>
        </w:rPr>
        <w:t>发生任一“权利完善事件”时</w:t>
      </w:r>
      <w:r>
        <w:rPr>
          <w:rFonts w:eastAsia="楷体_GB2312"/>
          <w:bCs/>
          <w:sz w:val="24"/>
        </w:rPr>
        <w:t>，“</w:t>
      </w:r>
      <w:r>
        <w:rPr>
          <w:rFonts w:eastAsia="楷体_GB2312"/>
          <w:sz w:val="24"/>
        </w:rPr>
        <w:t>委托人</w:t>
      </w:r>
      <w:r>
        <w:rPr>
          <w:rFonts w:eastAsia="楷体_GB2312"/>
          <w:bCs/>
          <w:sz w:val="24"/>
        </w:rPr>
        <w:t>”</w:t>
      </w:r>
      <w:r>
        <w:rPr>
          <w:rFonts w:eastAsia="楷体_GB2312"/>
          <w:sz w:val="24"/>
        </w:rPr>
        <w:t>或</w:t>
      </w:r>
      <w:r>
        <w:rPr>
          <w:rFonts w:eastAsia="楷体_GB2312"/>
          <w:bCs/>
          <w:sz w:val="24"/>
        </w:rPr>
        <w:t>“</w:t>
      </w:r>
      <w:r>
        <w:rPr>
          <w:rFonts w:eastAsia="楷体_GB2312"/>
          <w:sz w:val="24"/>
        </w:rPr>
        <w:t>受托人</w:t>
      </w:r>
      <w:r>
        <w:rPr>
          <w:rFonts w:eastAsia="楷体_GB2312"/>
          <w:bCs/>
          <w:sz w:val="24"/>
        </w:rPr>
        <w:t>”</w:t>
      </w:r>
      <w:r>
        <w:rPr>
          <w:rFonts w:eastAsia="楷体_GB2312"/>
          <w:sz w:val="24"/>
        </w:rPr>
        <w:t>将根据</w:t>
      </w:r>
      <w:r>
        <w:rPr>
          <w:rFonts w:eastAsia="楷体_GB2312"/>
          <w:bCs/>
          <w:sz w:val="24"/>
        </w:rPr>
        <w:t>“</w:t>
      </w:r>
      <w:r>
        <w:rPr>
          <w:rFonts w:eastAsia="楷体_GB2312"/>
          <w:sz w:val="24"/>
        </w:rPr>
        <w:t>《信托合同》</w:t>
      </w:r>
      <w:r>
        <w:rPr>
          <w:rFonts w:eastAsia="楷体_GB2312"/>
          <w:bCs/>
          <w:sz w:val="24"/>
        </w:rPr>
        <w:t>”</w:t>
      </w:r>
      <w:r>
        <w:rPr>
          <w:rFonts w:eastAsia="楷体_GB2312"/>
          <w:sz w:val="24"/>
        </w:rPr>
        <w:t>的约定</w:t>
      </w:r>
      <w:r>
        <w:rPr>
          <w:rFonts w:eastAsia="楷体_GB2312"/>
          <w:bCs/>
          <w:sz w:val="24"/>
        </w:rPr>
        <w:t>通知“借款人”、“担保人”（如有）将其应支付的款项支付至“信托账户”；</w:t>
      </w:r>
      <w:r>
        <w:rPr>
          <w:rFonts w:eastAsia="楷体_GB2312"/>
          <w:sz w:val="24"/>
        </w:rPr>
        <w:t>如届时“借款人”</w:t>
      </w:r>
      <w:r>
        <w:rPr>
          <w:rFonts w:eastAsia="楷体_GB2312"/>
          <w:bCs/>
          <w:sz w:val="24"/>
        </w:rPr>
        <w:t>、“担保人”（如有）</w:t>
      </w:r>
      <w:r>
        <w:rPr>
          <w:rFonts w:eastAsia="楷体_GB2312"/>
          <w:sz w:val="24"/>
        </w:rPr>
        <w:t>仍将“回收款”支付至“贷款服务机构”的，则“回收款转付日”为“贷款服务机构”收到每笔“回收款”后的【】个“工作日”内的任一“工作日”；</w:t>
      </w:r>
      <w:bookmarkEnd w:id="35"/>
    </w:p>
    <w:p w14:paraId="725E7177">
      <w:pPr>
        <w:pStyle w:val="54"/>
        <w:numPr>
          <w:ilvl w:val="0"/>
          <w:numId w:val="13"/>
        </w:numPr>
        <w:tabs>
          <w:tab w:val="left" w:pos="2356"/>
        </w:tabs>
        <w:spacing w:before="156" w:beforeLines="50" w:after="156" w:afterLines="50" w:line="360" w:lineRule="auto"/>
        <w:ind w:firstLineChars="0"/>
        <w:rPr>
          <w:rFonts w:eastAsia="楷体_GB2312"/>
          <w:bCs/>
          <w:color w:val="0000FF"/>
          <w:sz w:val="24"/>
        </w:rPr>
      </w:pPr>
      <w:bookmarkStart w:id="36" w:name="_Ref51151892"/>
      <w:r>
        <w:rPr>
          <w:rFonts w:eastAsia="楷体_GB2312"/>
          <w:bCs/>
          <w:sz w:val="24"/>
        </w:rPr>
        <w:t>“信托终止日”后，“回收款转付日”为“信托终止日”后【】个“工作日”内的任一“工作日”；在“信托终止日”后，“贷款服务机构”还收到“回收款”的，则“回收款转付日”为“信托终止日”后每个自然月结束后的第【】个“工作日”，但所有“回收款”的转付应不晚于“信托财产”最后一个“支付日”的前【】个“工作日”。</w:t>
      </w:r>
      <w:bookmarkEnd w:id="36"/>
    </w:p>
    <w:p w14:paraId="2C33DBFE">
      <w:pPr>
        <w:spacing w:before="156" w:beforeLines="50" w:after="156" w:afterLines="50" w:line="360" w:lineRule="auto"/>
        <w:ind w:left="851"/>
        <w:rPr>
          <w:rFonts w:eastAsia="楷体_GB2312"/>
          <w:bCs/>
          <w:sz w:val="24"/>
        </w:rPr>
      </w:pPr>
      <w:r>
        <w:rPr>
          <w:rFonts w:eastAsia="楷体_GB2312"/>
          <w:bCs/>
          <w:sz w:val="24"/>
        </w:rPr>
        <w:t>如果“评级机构”中某一家给予“贷款服务机构”的</w:t>
      </w:r>
      <w:r>
        <w:rPr>
          <w:rFonts w:eastAsia="楷体_GB2312"/>
          <w:sz w:val="24"/>
        </w:rPr>
        <w:t>长期主体信用</w:t>
      </w:r>
      <w:r>
        <w:rPr>
          <w:rFonts w:eastAsia="楷体_GB2312"/>
          <w:bCs/>
          <w:sz w:val="24"/>
        </w:rPr>
        <w:t>评级在某一“回收款转付期间”内发生变化且因此需要改变“回收款转付日”时，自该“回收款转付期间”届满之日起，相关“回收款转付日”按照前述规则进行相应的改变。“回收款转付日”发生上述改变之后，即使“贷款服务机构”的</w:t>
      </w:r>
      <w:r>
        <w:rPr>
          <w:rFonts w:eastAsia="楷体_GB2312"/>
          <w:sz w:val="24"/>
        </w:rPr>
        <w:t>长期主体</w:t>
      </w:r>
      <w:r>
        <w:rPr>
          <w:rFonts w:eastAsia="楷体_GB2312"/>
          <w:bCs/>
          <w:sz w:val="24"/>
        </w:rPr>
        <w:t>信用评级重新提高，“回收款转付日”的频率也不再恢复。</w:t>
      </w:r>
    </w:p>
    <w:p w14:paraId="5C8B5931">
      <w:pPr>
        <w:spacing w:before="156" w:beforeLines="50" w:after="156" w:afterLines="50" w:line="360" w:lineRule="auto"/>
        <w:ind w:left="851"/>
        <w:rPr>
          <w:rFonts w:eastAsia="楷体_GB2312"/>
          <w:b/>
          <w:i/>
          <w:iCs/>
          <w:color w:val="FF0000"/>
          <w:sz w:val="24"/>
        </w:rPr>
      </w:pPr>
      <w:bookmarkStart w:id="37" w:name="_Hlk220165895"/>
      <w:r>
        <w:rPr>
          <w:rFonts w:eastAsia="楷体_GB2312"/>
          <w:b/>
          <w:i/>
          <w:iCs/>
          <w:color w:val="FF0000"/>
          <w:sz w:val="24"/>
        </w:rPr>
        <w:t>【注：</w:t>
      </w:r>
      <w:r>
        <w:rPr>
          <w:rFonts w:eastAsia="楷体_GB2312"/>
          <w:b/>
          <w:bCs/>
          <w:i/>
          <w:iCs/>
          <w:color w:val="FF0000"/>
          <w:sz w:val="24"/>
        </w:rPr>
        <w:t>回收款转付日根据项目具体安排进行调整</w:t>
      </w:r>
      <w:r>
        <w:rPr>
          <w:rFonts w:eastAsia="楷体_GB2312"/>
          <w:b/>
          <w:i/>
          <w:iCs/>
          <w:color w:val="FF0000"/>
          <w:sz w:val="24"/>
        </w:rPr>
        <w:t>。】</w:t>
      </w:r>
      <w:bookmarkEnd w:id="37"/>
    </w:p>
    <w:p w14:paraId="68E9964C">
      <w:pPr>
        <w:numPr>
          <w:ilvl w:val="1"/>
          <w:numId w:val="5"/>
        </w:numPr>
        <w:tabs>
          <w:tab w:val="left" w:pos="851"/>
          <w:tab w:val="clear" w:pos="720"/>
        </w:tabs>
        <w:spacing w:before="156" w:beforeLines="50" w:after="156" w:afterLines="50" w:line="360" w:lineRule="auto"/>
        <w:ind w:left="851" w:hanging="851"/>
        <w:rPr>
          <w:rFonts w:eastAsia="楷体_GB2312"/>
          <w:sz w:val="24"/>
        </w:rPr>
      </w:pPr>
      <w:bookmarkStart w:id="38" w:name="_Hlk55336017"/>
      <w:r>
        <w:rPr>
          <w:rFonts w:eastAsia="楷体_GB2312"/>
          <w:b/>
          <w:sz w:val="24"/>
        </w:rPr>
        <w:t>服务机构</w:t>
      </w:r>
      <w:r>
        <w:rPr>
          <w:rFonts w:eastAsia="楷体_GB2312"/>
          <w:b/>
          <w:bCs/>
          <w:sz w:val="24"/>
        </w:rPr>
        <w:t>报告</w:t>
      </w:r>
      <w:r>
        <w:rPr>
          <w:rFonts w:eastAsia="楷体_GB2312"/>
          <w:b/>
          <w:sz w:val="24"/>
        </w:rPr>
        <w:t>日：</w:t>
      </w:r>
      <w:r>
        <w:rPr>
          <w:rFonts w:eastAsia="楷体_GB2312"/>
          <w:sz w:val="24"/>
        </w:rPr>
        <w:t>系指每个</w:t>
      </w:r>
      <w:r>
        <w:rPr>
          <w:rFonts w:eastAsia="楷体_GB2312"/>
          <w:kern w:val="0"/>
          <w:sz w:val="24"/>
        </w:rPr>
        <w:t>“计算日”</w:t>
      </w:r>
      <w:r>
        <w:rPr>
          <w:rFonts w:eastAsia="楷体_GB2312"/>
          <w:sz w:val="24"/>
        </w:rPr>
        <w:t>后的第【】个“工作日”，但不得迟于紧邻的“支付日”前的第【】个“工作日”。</w:t>
      </w:r>
    </w:p>
    <w:p w14:paraId="6437D838">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资金保管机构报告日：</w:t>
      </w:r>
      <w:r>
        <w:rPr>
          <w:rFonts w:eastAsia="楷体_GB2312"/>
          <w:sz w:val="24"/>
        </w:rPr>
        <w:t>系指</w:t>
      </w:r>
      <w:r>
        <w:rPr>
          <w:rFonts w:eastAsia="楷体_GB2312"/>
          <w:kern w:val="0"/>
          <w:sz w:val="24"/>
        </w:rPr>
        <w:t>每个</w:t>
      </w:r>
      <w:r>
        <w:rPr>
          <w:rFonts w:eastAsia="楷体_GB2312"/>
          <w:sz w:val="24"/>
        </w:rPr>
        <w:t>“计算日”后的第【】个“工作日”，但不得迟于紧邻的“支付日”前的第【】个“工作日”。</w:t>
      </w:r>
    </w:p>
    <w:p w14:paraId="4D6ECACA">
      <w:pPr>
        <w:numPr>
          <w:ilvl w:val="1"/>
          <w:numId w:val="5"/>
        </w:numPr>
        <w:tabs>
          <w:tab w:val="left" w:pos="851"/>
          <w:tab w:val="clear" w:pos="720"/>
        </w:tabs>
        <w:spacing w:before="156" w:beforeLines="50" w:after="156" w:afterLines="50" w:line="360" w:lineRule="auto"/>
        <w:ind w:left="851" w:hanging="851"/>
        <w:rPr>
          <w:rFonts w:eastAsia="楷体_GB2312"/>
          <w:bCs/>
          <w:color w:val="0000FF"/>
          <w:sz w:val="24"/>
        </w:rPr>
      </w:pPr>
      <w:r>
        <w:rPr>
          <w:rFonts w:eastAsia="楷体_GB2312"/>
          <w:b/>
          <w:sz w:val="24"/>
        </w:rPr>
        <w:t>信托利益核算日</w:t>
      </w:r>
      <w:r>
        <w:rPr>
          <w:rFonts w:eastAsia="楷体_GB2312"/>
          <w:sz w:val="24"/>
        </w:rPr>
        <w:t>：系指每个“计算日”后的第【】个“工作日”，但不得迟于紧邻的“支付日”前的第【】个“工作日”。</w:t>
      </w:r>
    </w:p>
    <w:p w14:paraId="2E66772F">
      <w:pPr>
        <w:numPr>
          <w:ilvl w:val="1"/>
          <w:numId w:val="5"/>
        </w:numPr>
        <w:tabs>
          <w:tab w:val="left" w:pos="851"/>
          <w:tab w:val="clear" w:pos="720"/>
        </w:tabs>
        <w:spacing w:before="156" w:beforeLines="50" w:after="156" w:afterLines="50" w:line="360" w:lineRule="auto"/>
        <w:ind w:left="851" w:hanging="851"/>
        <w:rPr>
          <w:rStyle w:val="29"/>
          <w:rFonts w:eastAsia="楷体_GB2312"/>
          <w:b/>
          <w:bCs/>
          <w:sz w:val="24"/>
        </w:rPr>
      </w:pPr>
      <w:r>
        <w:rPr>
          <w:rFonts w:eastAsia="楷体_GB2312"/>
          <w:b/>
          <w:bCs/>
          <w:sz w:val="24"/>
        </w:rPr>
        <w:t>受托机构报告日：</w:t>
      </w:r>
      <w:r>
        <w:rPr>
          <w:rFonts w:eastAsia="楷体_GB2312"/>
          <w:bCs/>
          <w:sz w:val="24"/>
        </w:rPr>
        <w:t>系指</w:t>
      </w:r>
      <w:r>
        <w:rPr>
          <w:rFonts w:eastAsia="楷体_GB2312"/>
          <w:kern w:val="0"/>
          <w:sz w:val="24"/>
        </w:rPr>
        <w:t>每个</w:t>
      </w:r>
      <w:r>
        <w:rPr>
          <w:rFonts w:eastAsia="楷体_GB2312"/>
          <w:sz w:val="24"/>
        </w:rPr>
        <w:t>“</w:t>
      </w:r>
      <w:r>
        <w:rPr>
          <w:rFonts w:eastAsia="楷体_GB2312"/>
          <w:bCs/>
          <w:sz w:val="24"/>
        </w:rPr>
        <w:t>支付日</w:t>
      </w:r>
      <w:r>
        <w:rPr>
          <w:rFonts w:eastAsia="楷体_GB2312"/>
          <w:sz w:val="24"/>
        </w:rPr>
        <w:t>”</w:t>
      </w:r>
      <w:r>
        <w:rPr>
          <w:rFonts w:eastAsia="楷体_GB2312"/>
          <w:bCs/>
          <w:sz w:val="24"/>
        </w:rPr>
        <w:t>前的第【】个“工作日”</w:t>
      </w:r>
      <w:bookmarkEnd w:id="38"/>
      <w:r>
        <w:rPr>
          <w:rFonts w:eastAsia="楷体_GB2312"/>
          <w:bCs/>
          <w:sz w:val="24"/>
        </w:rPr>
        <w:t>。</w:t>
      </w:r>
    </w:p>
    <w:p w14:paraId="2BF70AB6">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计息日：</w:t>
      </w:r>
      <w:r>
        <w:rPr>
          <w:rFonts w:eastAsia="楷体_GB2312"/>
          <w:bCs/>
          <w:sz w:val="24"/>
        </w:rPr>
        <w:t>系指每</w:t>
      </w:r>
      <w:r>
        <w:rPr>
          <w:rFonts w:eastAsia="楷体_GB2312"/>
          <w:sz w:val="24"/>
        </w:rPr>
        <w:t>月的第【】日（第一个计息日为【】年【】月【】日），每一类别</w:t>
      </w:r>
      <w:r>
        <w:rPr>
          <w:rFonts w:eastAsia="楷体_GB2312"/>
          <w:bCs/>
          <w:sz w:val="24"/>
        </w:rPr>
        <w:t>“资产支持证券”</w:t>
      </w:r>
      <w:r>
        <w:rPr>
          <w:rFonts w:eastAsia="楷体_GB2312"/>
          <w:sz w:val="24"/>
        </w:rPr>
        <w:t>的本金支付完毕后该类证券不再计息</w:t>
      </w:r>
      <w:r>
        <w:rPr>
          <w:rFonts w:eastAsia="楷体_GB2312"/>
          <w:bCs/>
          <w:color w:val="000000" w:themeColor="text1"/>
          <w:sz w:val="24"/>
          <w14:textFill>
            <w14:solidFill>
              <w14:schemeClr w14:val="tx1"/>
            </w14:solidFill>
          </w14:textFill>
        </w:rPr>
        <w:t>。</w:t>
      </w:r>
      <w:r>
        <w:rPr>
          <w:rFonts w:eastAsia="楷体_GB2312"/>
          <w:sz w:val="24"/>
        </w:rPr>
        <w:t>根据“交易文件”相关约定有效形成的原状分配方案或</w:t>
      </w:r>
      <w:r>
        <w:rPr>
          <w:rFonts w:eastAsia="楷体_GB2312"/>
          <w:color w:val="000000" w:themeColor="text1"/>
          <w:sz w:val="24"/>
          <w14:textFill>
            <w14:solidFill>
              <w14:schemeClr w14:val="tx1"/>
            </w14:solidFill>
          </w14:textFill>
        </w:rPr>
        <w:t>“资产支持证券持有人大会”就“信托终止日”后的“计息日”另有约定的，从其约定</w:t>
      </w:r>
      <w:r>
        <w:rPr>
          <w:rFonts w:eastAsia="楷体_GB2312"/>
          <w:bCs/>
          <w:color w:val="000000" w:themeColor="text1"/>
          <w:sz w:val="24"/>
          <w14:textFill>
            <w14:solidFill>
              <w14:schemeClr w14:val="tx1"/>
            </w14:solidFill>
          </w14:textFill>
        </w:rPr>
        <w:t>。</w:t>
      </w:r>
    </w:p>
    <w:p w14:paraId="3F62AA47">
      <w:pPr>
        <w:spacing w:before="156" w:beforeLines="50" w:after="156" w:afterLines="50" w:line="360" w:lineRule="auto"/>
        <w:ind w:left="851"/>
        <w:rPr>
          <w:rFonts w:eastAsia="楷体_GB2312"/>
          <w:b/>
          <w:i/>
          <w:iCs/>
          <w:color w:val="FF0000"/>
          <w:sz w:val="24"/>
        </w:rPr>
      </w:pPr>
      <w:r>
        <w:rPr>
          <w:rFonts w:eastAsia="楷体_GB2312"/>
          <w:b/>
          <w:i/>
          <w:iCs/>
          <w:color w:val="FF0000"/>
          <w:sz w:val="24"/>
        </w:rPr>
        <w:t>【注：如信托终止或信托清算时根据交易文件约定而对计息日进行特殊安排的，则可予以补充相关约定。】</w:t>
      </w:r>
    </w:p>
    <w:p w14:paraId="472B4E8B">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支付日：</w:t>
      </w:r>
      <w:r>
        <w:rPr>
          <w:rFonts w:eastAsia="楷体_GB2312"/>
          <w:sz w:val="24"/>
        </w:rPr>
        <w:t>系指每月的第【】日，其中，第一个支付日应为【】年【】月【】日。但如果该日不是</w:t>
      </w:r>
      <w:r>
        <w:rPr>
          <w:rFonts w:eastAsia="楷体_GB2312"/>
          <w:bCs/>
          <w:sz w:val="24"/>
        </w:rPr>
        <w:t>“工作日”</w:t>
      </w:r>
      <w:r>
        <w:rPr>
          <w:rFonts w:eastAsia="楷体_GB2312"/>
          <w:sz w:val="24"/>
        </w:rPr>
        <w:t>，则为该日后的第一个</w:t>
      </w:r>
      <w:r>
        <w:rPr>
          <w:rFonts w:eastAsia="楷体_GB2312"/>
          <w:bCs/>
          <w:sz w:val="24"/>
        </w:rPr>
        <w:t>“工作日”</w:t>
      </w:r>
      <w:r>
        <w:rPr>
          <w:rFonts w:eastAsia="楷体_GB2312"/>
          <w:sz w:val="24"/>
        </w:rPr>
        <w:t>。“信托”终止后的“支付日”为每个自然月的第【】日，但“信托”的最后一个“支付日”为“信托财产”清算完毕后【】个“工作日”内的任一“工作日”（根据“交易文件”相关约定有效形成的原状分配方案或“资产支持证券持有人大会”对“信托终止</w:t>
      </w:r>
      <w:r>
        <w:rPr>
          <w:rFonts w:hint="eastAsia" w:eastAsia="楷体_GB2312"/>
          <w:sz w:val="24"/>
        </w:rPr>
        <w:t>日</w:t>
      </w:r>
      <w:r>
        <w:rPr>
          <w:rFonts w:eastAsia="楷体_GB2312"/>
          <w:sz w:val="24"/>
        </w:rPr>
        <w:t>”后的“支付日”另有约定的，从其约定）。</w:t>
      </w:r>
    </w:p>
    <w:p w14:paraId="637101C9">
      <w:pPr>
        <w:numPr>
          <w:ilvl w:val="1"/>
          <w:numId w:val="5"/>
        </w:numPr>
        <w:tabs>
          <w:tab w:val="left" w:pos="851"/>
          <w:tab w:val="clear" w:pos="720"/>
        </w:tabs>
        <w:spacing w:before="156" w:beforeLines="50" w:after="156" w:afterLines="50" w:line="360" w:lineRule="auto"/>
        <w:ind w:left="851" w:hanging="851"/>
        <w:rPr>
          <w:rFonts w:eastAsia="楷体_GB2312"/>
          <w:b/>
          <w:bCs/>
          <w:sz w:val="24"/>
        </w:rPr>
      </w:pPr>
      <w:bookmarkStart w:id="39" w:name="_Hlk55336107"/>
      <w:r>
        <w:rPr>
          <w:rFonts w:eastAsia="楷体_GB2312"/>
          <w:b/>
          <w:bCs/>
          <w:sz w:val="24"/>
        </w:rPr>
        <w:t>资金保管机构结息日：</w:t>
      </w:r>
      <w:r>
        <w:rPr>
          <w:rFonts w:eastAsia="楷体_GB2312"/>
          <w:sz w:val="24"/>
        </w:rPr>
        <w:t>系指</w:t>
      </w:r>
      <w:r>
        <w:rPr>
          <w:rFonts w:eastAsia="楷体_GB2312"/>
          <w:kern w:val="0"/>
          <w:sz w:val="24"/>
        </w:rPr>
        <w:t>“资金保管机构”</w:t>
      </w:r>
      <w:r>
        <w:rPr>
          <w:rFonts w:eastAsia="楷体_GB2312"/>
          <w:sz w:val="24"/>
        </w:rPr>
        <w:t>按季进行结息之日，即每年</w:t>
      </w:r>
      <w:r>
        <w:rPr>
          <w:rFonts w:eastAsia="楷体_GB2312"/>
          <w:kern w:val="0"/>
          <w:sz w:val="24"/>
        </w:rPr>
        <w:t>的【】月【】日、【】月【】日、【】月【】日、【】月【】日。</w:t>
      </w:r>
      <w:bookmarkEnd w:id="39"/>
    </w:p>
    <w:p w14:paraId="015E6D51">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预期到期日：</w:t>
      </w:r>
      <w:r>
        <w:rPr>
          <w:rFonts w:eastAsia="楷体_GB2312"/>
          <w:bCs/>
          <w:sz w:val="24"/>
        </w:rPr>
        <w:t>对“优先A档资产支持证券”而言，系指【】年【】月【】日；对“优先B档资产支持证券”而言，系指【】年【】月【】日；对“次级资产支持证券”而言，系指【】</w:t>
      </w:r>
      <w:r>
        <w:rPr>
          <w:rFonts w:eastAsia="楷体_GB2312"/>
          <w:sz w:val="24"/>
        </w:rPr>
        <w:t>年【】月</w:t>
      </w:r>
      <w:r>
        <w:rPr>
          <w:rFonts w:eastAsia="楷体_GB2312"/>
          <w:bCs/>
          <w:sz w:val="24"/>
        </w:rPr>
        <w:t>【</w:t>
      </w:r>
      <w:r>
        <w:rPr>
          <w:rFonts w:eastAsia="楷体_GB2312"/>
          <w:sz w:val="24"/>
        </w:rPr>
        <w:t>】日</w:t>
      </w:r>
      <w:r>
        <w:rPr>
          <w:rFonts w:eastAsia="楷体_GB2312"/>
          <w:bCs/>
          <w:sz w:val="24"/>
        </w:rPr>
        <w:t>。</w:t>
      </w:r>
      <w:r>
        <w:rPr>
          <w:rFonts w:eastAsia="楷体_GB2312"/>
          <w:bCs/>
          <w:color w:val="000000" w:themeColor="text1"/>
          <w:kern w:val="0"/>
          <w:sz w:val="24"/>
          <w14:textFill>
            <w14:solidFill>
              <w14:schemeClr w14:val="tx1"/>
            </w14:solidFill>
          </w14:textFill>
        </w:rPr>
        <w:t>“预期到期日”并非各档“资产支持证券”的实际到期日，各档“资产支持证券”可能早于或晚于其“预期到期日”兑付完毕。</w:t>
      </w:r>
    </w:p>
    <w:p w14:paraId="1E94621E">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法定到期日：</w:t>
      </w:r>
      <w:r>
        <w:rPr>
          <w:rFonts w:eastAsia="楷体_GB2312"/>
          <w:bCs/>
          <w:sz w:val="24"/>
        </w:rPr>
        <w:t>系指【】</w:t>
      </w:r>
      <w:r>
        <w:rPr>
          <w:rFonts w:eastAsia="楷体_GB2312"/>
          <w:sz w:val="24"/>
        </w:rPr>
        <w:t>年【】月</w:t>
      </w:r>
      <w:r>
        <w:rPr>
          <w:rFonts w:eastAsia="楷体_GB2312"/>
          <w:bCs/>
          <w:sz w:val="24"/>
        </w:rPr>
        <w:t>【</w:t>
      </w:r>
      <w:r>
        <w:rPr>
          <w:rFonts w:eastAsia="楷体_GB2312"/>
          <w:sz w:val="24"/>
        </w:rPr>
        <w:t>】日</w:t>
      </w:r>
      <w:r>
        <w:rPr>
          <w:rFonts w:eastAsia="楷体_GB2312"/>
          <w:bCs/>
          <w:sz w:val="24"/>
        </w:rPr>
        <w:t>。</w:t>
      </w:r>
    </w:p>
    <w:p w14:paraId="3D84DA63">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信托终止日：</w:t>
      </w:r>
      <w:r>
        <w:rPr>
          <w:rFonts w:eastAsia="楷体_GB2312"/>
          <w:bCs/>
          <w:sz w:val="24"/>
        </w:rPr>
        <w:t>系指“《信托合同》”第【22.3】款约定</w:t>
      </w:r>
      <w:r>
        <w:rPr>
          <w:rFonts w:eastAsia="楷体_GB2312"/>
          <w:kern w:val="0"/>
          <w:sz w:val="24"/>
        </w:rPr>
        <w:t>的</w:t>
      </w:r>
      <w:r>
        <w:rPr>
          <w:rFonts w:eastAsia="楷体_GB2312"/>
          <w:bCs/>
          <w:sz w:val="24"/>
        </w:rPr>
        <w:t>任一情形发生之日。</w:t>
      </w:r>
    </w:p>
    <w:p w14:paraId="2CBAE3DE">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工作日：</w:t>
      </w:r>
      <w:r>
        <w:rPr>
          <w:rFonts w:eastAsia="楷体_GB2312"/>
          <w:kern w:val="0"/>
          <w:sz w:val="24"/>
        </w:rPr>
        <w:t>系指商业银行的对公业务正常营业日（不包括</w:t>
      </w:r>
      <w:r>
        <w:rPr>
          <w:rFonts w:eastAsia="楷体_GB2312"/>
          <w:bCs/>
          <w:sz w:val="24"/>
        </w:rPr>
        <w:t>“</w:t>
      </w:r>
      <w:r>
        <w:rPr>
          <w:rFonts w:eastAsia="楷体_GB2312"/>
          <w:sz w:val="24"/>
        </w:rPr>
        <w:t>中国</w:t>
      </w:r>
      <w:r>
        <w:rPr>
          <w:rFonts w:eastAsia="楷体_GB2312"/>
          <w:bCs/>
          <w:sz w:val="24"/>
        </w:rPr>
        <w:t>”</w:t>
      </w:r>
      <w:r>
        <w:rPr>
          <w:rFonts w:eastAsia="楷体_GB2312"/>
          <w:kern w:val="0"/>
          <w:sz w:val="24"/>
        </w:rPr>
        <w:t>的法定公休日和节假日）</w:t>
      </w:r>
      <w:r>
        <w:rPr>
          <w:rFonts w:eastAsia="楷体_GB2312"/>
          <w:bCs/>
          <w:sz w:val="24"/>
        </w:rPr>
        <w:t>。</w:t>
      </w:r>
    </w:p>
    <w:p w14:paraId="18C479FE">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日/天：</w:t>
      </w:r>
      <w:r>
        <w:rPr>
          <w:rFonts w:eastAsia="楷体_GB2312"/>
          <w:color w:val="000000" w:themeColor="text1"/>
          <w:kern w:val="0"/>
          <w:sz w:val="24"/>
          <w14:textFill>
            <w14:solidFill>
              <w14:schemeClr w14:val="tx1"/>
            </w14:solidFill>
          </w14:textFill>
        </w:rPr>
        <w:t>如未特别说明为</w:t>
      </w:r>
      <w:r>
        <w:rPr>
          <w:rFonts w:eastAsia="楷体_GB2312"/>
          <w:bCs/>
          <w:sz w:val="24"/>
        </w:rPr>
        <w:t>“工作日”，均指自然日。</w:t>
      </w:r>
    </w:p>
    <w:p w14:paraId="4488BD8B">
      <w:pPr>
        <w:pStyle w:val="6"/>
        <w:numPr>
          <w:ilvl w:val="0"/>
          <w:numId w:val="12"/>
        </w:numPr>
        <w:spacing w:before="156" w:beforeLines="50" w:after="156" w:afterLines="50" w:line="360" w:lineRule="auto"/>
        <w:ind w:leftChars="0"/>
        <w:outlineLvl w:val="2"/>
        <w:rPr>
          <w:rFonts w:eastAsia="楷体_GB2312"/>
          <w:b/>
          <w:sz w:val="24"/>
        </w:rPr>
      </w:pPr>
      <w:bookmarkStart w:id="40" w:name="_Toc173860441"/>
      <w:r>
        <w:rPr>
          <w:rFonts w:eastAsia="楷体_GB2312"/>
          <w:b/>
          <w:sz w:val="24"/>
        </w:rPr>
        <w:t>期间类</w:t>
      </w:r>
      <w:bookmarkEnd w:id="40"/>
      <w:r>
        <w:rPr>
          <w:rFonts w:hint="eastAsia" w:eastAsia="楷体_GB2312"/>
          <w:b/>
          <w:sz w:val="24"/>
        </w:rPr>
        <w:t>的定义</w:t>
      </w:r>
    </w:p>
    <w:p w14:paraId="4CDC6725">
      <w:pPr>
        <w:numPr>
          <w:ilvl w:val="1"/>
          <w:numId w:val="5"/>
        </w:numPr>
        <w:tabs>
          <w:tab w:val="left" w:pos="851"/>
          <w:tab w:val="clear" w:pos="720"/>
        </w:tabs>
        <w:spacing w:before="156" w:beforeLines="50" w:after="156" w:afterLines="50" w:line="360" w:lineRule="auto"/>
        <w:ind w:left="851" w:hanging="851"/>
        <w:rPr>
          <w:rFonts w:eastAsia="楷体_GB2312"/>
          <w:color w:val="000000"/>
          <w:sz w:val="24"/>
        </w:rPr>
      </w:pPr>
      <w:r>
        <w:rPr>
          <w:rFonts w:eastAsia="楷体_GB2312"/>
          <w:b/>
          <w:bCs/>
          <w:sz w:val="24"/>
        </w:rPr>
        <w:t>信托期限：</w:t>
      </w:r>
      <w:r>
        <w:rPr>
          <w:rFonts w:eastAsia="楷体_GB2312"/>
          <w:bCs/>
          <w:sz w:val="24"/>
        </w:rPr>
        <w:t>系指</w:t>
      </w:r>
      <w:r>
        <w:rPr>
          <w:rFonts w:eastAsia="楷体_GB2312"/>
          <w:color w:val="000000"/>
          <w:sz w:val="24"/>
        </w:rPr>
        <w:t>自</w:t>
      </w:r>
      <w:r>
        <w:rPr>
          <w:rFonts w:eastAsia="楷体_GB2312"/>
          <w:kern w:val="0"/>
          <w:sz w:val="24"/>
        </w:rPr>
        <w:t>“</w:t>
      </w:r>
      <w:r>
        <w:rPr>
          <w:rFonts w:eastAsia="楷体_GB2312"/>
          <w:color w:val="000000"/>
          <w:kern w:val="0"/>
          <w:sz w:val="24"/>
        </w:rPr>
        <w:t>信托生效日</w:t>
      </w:r>
      <w:r>
        <w:rPr>
          <w:rFonts w:eastAsia="楷体_GB2312"/>
          <w:bCs/>
          <w:sz w:val="24"/>
        </w:rPr>
        <w:t>”（</w:t>
      </w:r>
      <w:r>
        <w:rPr>
          <w:rFonts w:eastAsia="楷体_GB2312"/>
          <w:sz w:val="24"/>
        </w:rPr>
        <w:t>含该日）</w:t>
      </w:r>
      <w:r>
        <w:rPr>
          <w:rFonts w:eastAsia="楷体_GB2312"/>
          <w:color w:val="000000"/>
          <w:sz w:val="24"/>
        </w:rPr>
        <w:t>起至</w:t>
      </w:r>
      <w:r>
        <w:rPr>
          <w:rFonts w:eastAsia="楷体_GB2312"/>
          <w:sz w:val="24"/>
        </w:rPr>
        <w:t>“信托终止日”（</w:t>
      </w:r>
      <w:r>
        <w:rPr>
          <w:rFonts w:hint="eastAsia" w:eastAsia="楷体_GB2312"/>
          <w:sz w:val="24"/>
        </w:rPr>
        <w:t>不</w:t>
      </w:r>
      <w:r>
        <w:rPr>
          <w:rFonts w:eastAsia="楷体_GB2312"/>
          <w:sz w:val="24"/>
        </w:rPr>
        <w:t>含该日）</w:t>
      </w:r>
      <w:r>
        <w:rPr>
          <w:rFonts w:eastAsia="楷体_GB2312"/>
          <w:color w:val="000000"/>
          <w:sz w:val="24"/>
        </w:rPr>
        <w:t>止的期间</w:t>
      </w:r>
      <w:bookmarkStart w:id="41" w:name="_Ref110394034"/>
      <w:r>
        <w:rPr>
          <w:rFonts w:eastAsia="楷体_GB2312"/>
          <w:color w:val="000000"/>
          <w:sz w:val="24"/>
        </w:rPr>
        <w:t>。</w:t>
      </w:r>
      <w:bookmarkEnd w:id="41"/>
    </w:p>
    <w:p w14:paraId="3E6DD4A0">
      <w:pPr>
        <w:numPr>
          <w:ilvl w:val="1"/>
          <w:numId w:val="5"/>
        </w:numPr>
        <w:tabs>
          <w:tab w:val="left" w:pos="851"/>
          <w:tab w:val="clear" w:pos="720"/>
        </w:tabs>
        <w:spacing w:before="156" w:beforeLines="50" w:after="156" w:afterLines="50" w:line="360" w:lineRule="auto"/>
        <w:ind w:left="851" w:hanging="851"/>
        <w:rPr>
          <w:rFonts w:eastAsia="楷体_GB2312"/>
          <w:color w:val="000000"/>
          <w:sz w:val="24"/>
        </w:rPr>
      </w:pPr>
      <w:r>
        <w:rPr>
          <w:rFonts w:eastAsia="楷体_GB2312"/>
          <w:b/>
          <w:sz w:val="24"/>
        </w:rPr>
        <w:t>回收款转付期间</w:t>
      </w:r>
      <w:r>
        <w:rPr>
          <w:rFonts w:eastAsia="楷体_GB2312"/>
          <w:sz w:val="24"/>
        </w:rPr>
        <w:t>：</w:t>
      </w:r>
      <w:r>
        <w:rPr>
          <w:rFonts w:eastAsia="楷体_GB2312"/>
          <w:bCs/>
          <w:sz w:val="24"/>
        </w:rPr>
        <w:t>“回收款转付期间”按照如下规则确定：</w:t>
      </w:r>
    </w:p>
    <w:p w14:paraId="1682E454">
      <w:pPr>
        <w:numPr>
          <w:ilvl w:val="0"/>
          <w:numId w:val="14"/>
        </w:numPr>
        <w:spacing w:before="156" w:beforeLines="50" w:after="156" w:afterLines="50" w:line="360" w:lineRule="auto"/>
        <w:rPr>
          <w:rFonts w:eastAsia="楷体_GB2312"/>
        </w:rPr>
      </w:pPr>
      <w:r>
        <w:rPr>
          <w:rFonts w:eastAsia="楷体_GB2312"/>
          <w:bCs/>
          <w:sz w:val="24"/>
        </w:rPr>
        <w:t>当“贷款服务机构”具备“必备评级等级”时，系指自一个“计算日</w:t>
      </w:r>
      <w:r>
        <w:rPr>
          <w:rFonts w:eastAsia="楷体_GB2312"/>
          <w:sz w:val="24"/>
        </w:rPr>
        <w:t>”（不含该日）起至下一个“计算日”（含该日）之间的期间，其中第一个“回收款转付期间”应自“信托生效日”（</w:t>
      </w:r>
      <w:r>
        <w:rPr>
          <w:rFonts w:eastAsia="楷体_GB2312"/>
          <w:color w:val="000000"/>
          <w:sz w:val="24"/>
        </w:rPr>
        <w:t>含</w:t>
      </w:r>
      <w:r>
        <w:rPr>
          <w:rFonts w:eastAsia="楷体_GB2312"/>
          <w:sz w:val="24"/>
        </w:rPr>
        <w:t>该日）起至第一个“计算日”（含该日）结束</w:t>
      </w:r>
      <w:r>
        <w:rPr>
          <w:rFonts w:eastAsia="楷体_GB2312"/>
          <w:bCs/>
          <w:sz w:val="24"/>
        </w:rPr>
        <w:t>；</w:t>
      </w:r>
    </w:p>
    <w:p w14:paraId="367E3B10">
      <w:pPr>
        <w:numPr>
          <w:ilvl w:val="0"/>
          <w:numId w:val="14"/>
        </w:numPr>
        <w:tabs>
          <w:tab w:val="left" w:pos="2356"/>
        </w:tabs>
        <w:spacing w:before="156" w:beforeLines="50" w:after="156" w:afterLines="50" w:line="360" w:lineRule="auto"/>
        <w:rPr>
          <w:rFonts w:eastAsia="楷体_GB2312"/>
          <w:sz w:val="24"/>
        </w:rPr>
      </w:pPr>
      <w:r>
        <w:rPr>
          <w:rFonts w:eastAsia="楷体_GB2312"/>
          <w:sz w:val="24"/>
        </w:rPr>
        <w:t>如“回收款转付日”适用</w:t>
      </w:r>
      <w:r>
        <w:rPr>
          <w:rFonts w:eastAsia="楷体_GB2312"/>
          <w:sz w:val="24"/>
        </w:rPr>
        <w:fldChar w:fldCharType="begin"/>
      </w:r>
      <w:r>
        <w:rPr>
          <w:rFonts w:eastAsia="楷体_GB2312"/>
          <w:sz w:val="24"/>
        </w:rPr>
        <w:instrText xml:space="preserve"> REF _Ref122945219 \r \h  \* MERGEFORMAT </w:instrText>
      </w:r>
      <w:r>
        <w:rPr>
          <w:rFonts w:eastAsia="楷体_GB2312"/>
          <w:sz w:val="24"/>
        </w:rPr>
        <w:fldChar w:fldCharType="separate"/>
      </w:r>
      <w:r>
        <w:rPr>
          <w:rFonts w:eastAsia="楷体_GB2312"/>
          <w:sz w:val="24"/>
        </w:rPr>
        <w:t>(b)</w:t>
      </w:r>
      <w:r>
        <w:rPr>
          <w:rFonts w:eastAsia="楷体_GB2312"/>
          <w:sz w:val="24"/>
        </w:rPr>
        <w:fldChar w:fldCharType="end"/>
      </w:r>
      <w:r>
        <w:rPr>
          <w:rFonts w:eastAsia="楷体_GB2312"/>
          <w:sz w:val="24"/>
        </w:rPr>
        <w:t>项、</w:t>
      </w:r>
      <w:r>
        <w:rPr>
          <w:rFonts w:eastAsia="楷体_GB2312"/>
          <w:sz w:val="24"/>
        </w:rPr>
        <w:fldChar w:fldCharType="begin"/>
      </w:r>
      <w:r>
        <w:rPr>
          <w:rFonts w:eastAsia="楷体_GB2312"/>
          <w:sz w:val="24"/>
        </w:rPr>
        <w:instrText xml:space="preserve"> REF _Ref51151887 \r \h  \* MERGEFORMAT </w:instrText>
      </w:r>
      <w:r>
        <w:rPr>
          <w:rFonts w:eastAsia="楷体_GB2312"/>
          <w:sz w:val="24"/>
        </w:rPr>
        <w:fldChar w:fldCharType="separate"/>
      </w:r>
      <w:r>
        <w:rPr>
          <w:rFonts w:eastAsia="楷体_GB2312"/>
          <w:sz w:val="24"/>
        </w:rPr>
        <w:t>(c)</w:t>
      </w:r>
      <w:r>
        <w:rPr>
          <w:rFonts w:eastAsia="楷体_GB2312"/>
          <w:sz w:val="24"/>
        </w:rPr>
        <w:fldChar w:fldCharType="end"/>
      </w:r>
      <w:r>
        <w:rPr>
          <w:rFonts w:eastAsia="楷体_GB2312"/>
          <w:sz w:val="24"/>
        </w:rPr>
        <w:t>项或</w:t>
      </w:r>
      <w:r>
        <w:rPr>
          <w:rFonts w:eastAsia="楷体_GB2312"/>
          <w:sz w:val="24"/>
        </w:rPr>
        <w:fldChar w:fldCharType="begin"/>
      </w:r>
      <w:r>
        <w:rPr>
          <w:rFonts w:eastAsia="楷体_GB2312"/>
          <w:sz w:val="24"/>
        </w:rPr>
        <w:instrText xml:space="preserve"> REF _Ref51151892 \r \h  \* MERGEFORMAT </w:instrText>
      </w:r>
      <w:r>
        <w:rPr>
          <w:rFonts w:eastAsia="楷体_GB2312"/>
          <w:sz w:val="24"/>
        </w:rPr>
        <w:fldChar w:fldCharType="separate"/>
      </w:r>
      <w:r>
        <w:rPr>
          <w:rFonts w:eastAsia="楷体_GB2312"/>
          <w:sz w:val="24"/>
        </w:rPr>
        <w:t>(d)</w:t>
      </w:r>
      <w:r>
        <w:rPr>
          <w:rFonts w:eastAsia="楷体_GB2312"/>
          <w:sz w:val="24"/>
        </w:rPr>
        <w:fldChar w:fldCharType="end"/>
      </w:r>
      <w:r>
        <w:rPr>
          <w:rFonts w:eastAsia="楷体_GB2312"/>
          <w:sz w:val="24"/>
        </w:rPr>
        <w:t>项时，“贷款服务机构”应按照“交易文件”的约定及时转付收到的“回收款”。</w:t>
      </w:r>
    </w:p>
    <w:p w14:paraId="23ACB8C5">
      <w:pPr>
        <w:spacing w:before="156" w:beforeLines="50" w:after="156" w:afterLines="50" w:line="360" w:lineRule="auto"/>
        <w:ind w:left="851"/>
        <w:rPr>
          <w:rFonts w:eastAsia="楷体_GB2312"/>
          <w:b/>
          <w:sz w:val="24"/>
        </w:rPr>
      </w:pPr>
      <w:r>
        <w:rPr>
          <w:rFonts w:eastAsia="楷体_GB2312"/>
          <w:bCs/>
          <w:sz w:val="24"/>
        </w:rPr>
        <w:t>如果“评级机构”中某一家给予“贷款服务机构”的</w:t>
      </w:r>
      <w:r>
        <w:rPr>
          <w:rFonts w:eastAsia="楷体_GB2312"/>
          <w:sz w:val="24"/>
        </w:rPr>
        <w:t>长期主体</w:t>
      </w:r>
      <w:r>
        <w:rPr>
          <w:rFonts w:eastAsia="楷体_GB2312"/>
          <w:bCs/>
          <w:sz w:val="24"/>
        </w:rPr>
        <w:t>评级在某一“回收款转付期间”内发生变化且因此需要改变相关“回收款转付期间”时，自该“回收款转付期间”届满之日起，相关“回收款转付期间”按照前述规则进行相应的改变。</w:t>
      </w:r>
      <w:r>
        <w:rPr>
          <w:rFonts w:eastAsia="楷体_GB2312"/>
          <w:sz w:val="24"/>
        </w:rPr>
        <w:t>“回收款转付期间”发生上述改变之后，即使“贷款服务机构”的主体长期信用等级重新提高，“回收款转付期间”的频率也不再恢复。</w:t>
      </w:r>
    </w:p>
    <w:p w14:paraId="34391CE2">
      <w:pPr>
        <w:numPr>
          <w:ilvl w:val="1"/>
          <w:numId w:val="5"/>
        </w:numPr>
        <w:tabs>
          <w:tab w:val="left" w:pos="851"/>
          <w:tab w:val="clear" w:pos="720"/>
        </w:tabs>
        <w:spacing w:before="156" w:beforeLines="50" w:after="156" w:afterLines="50" w:line="360" w:lineRule="auto"/>
        <w:ind w:left="851" w:hanging="851"/>
        <w:rPr>
          <w:rFonts w:eastAsia="楷体_GB2312"/>
          <w:color w:val="000000"/>
          <w:sz w:val="24"/>
        </w:rPr>
      </w:pPr>
      <w:r>
        <w:rPr>
          <w:rFonts w:eastAsia="楷体_GB2312"/>
          <w:b/>
          <w:sz w:val="24"/>
        </w:rPr>
        <w:t>收款期间</w:t>
      </w:r>
      <w:r>
        <w:rPr>
          <w:rFonts w:eastAsia="楷体_GB2312"/>
          <w:sz w:val="24"/>
        </w:rPr>
        <w:t>：系指自一个“计算日”（不含该日）起至下一个“计算日”（含该日）之间的期间，其中第一个“收款期间”应自“初始起算日”（</w:t>
      </w:r>
      <w:r>
        <w:rPr>
          <w:rFonts w:eastAsia="楷体_GB2312"/>
          <w:color w:val="000000"/>
          <w:sz w:val="24"/>
        </w:rPr>
        <w:t>含</w:t>
      </w:r>
      <w:r>
        <w:rPr>
          <w:rFonts w:eastAsia="楷体_GB2312"/>
          <w:sz w:val="24"/>
        </w:rPr>
        <w:t>该日）起至第一个“计算日”（含该日）结束。</w:t>
      </w:r>
    </w:p>
    <w:p w14:paraId="0E15D03D">
      <w:pPr>
        <w:tabs>
          <w:tab w:val="left" w:pos="425"/>
          <w:tab w:val="left" w:pos="851"/>
          <w:tab w:val="left" w:pos="2763"/>
        </w:tabs>
        <w:spacing w:before="156" w:beforeLines="50" w:after="156" w:afterLines="50" w:line="360" w:lineRule="auto"/>
        <w:ind w:left="851"/>
        <w:rPr>
          <w:rFonts w:eastAsia="楷体_GB2312"/>
          <w:b/>
          <w:bCs/>
          <w:i/>
          <w:color w:val="FF0000"/>
          <w:sz w:val="24"/>
        </w:rPr>
      </w:pPr>
      <w:r>
        <w:rPr>
          <w:rFonts w:eastAsia="楷体_GB2312"/>
          <w:b/>
          <w:bCs/>
          <w:i/>
          <w:color w:val="FF0000"/>
          <w:sz w:val="24"/>
        </w:rPr>
        <w:t>【注：1、第一个收款期间是否包含初始起算日当日、第一个计算日当日可根据具体项目情况进行调整。2、收款期间的首尾计算日包含情况可根据具体项目情况进行调整。】</w:t>
      </w:r>
    </w:p>
    <w:p w14:paraId="75E2683B">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计息期间：</w:t>
      </w:r>
      <w:r>
        <w:rPr>
          <w:rFonts w:eastAsia="楷体_GB2312"/>
          <w:sz w:val="24"/>
        </w:rPr>
        <w:t>系指自一个“计息日”（含该日）至下一个“计息日”（不含该日）之间的期间。但第一个“计息期间”指“起息日”（含该日）开始并于第一个“计息日”（不含该日）结束。</w:t>
      </w:r>
    </w:p>
    <w:p w14:paraId="09C5A8DB">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sz w:val="24"/>
        </w:rPr>
        <w:t>过渡期：</w:t>
      </w:r>
      <w:r>
        <w:rPr>
          <w:rFonts w:eastAsia="楷体_GB2312"/>
          <w:bCs/>
          <w:sz w:val="24"/>
        </w:rPr>
        <w:t>系指“初始起算日”（含该日）至“信托生效日”（不含该日）的期间。</w:t>
      </w:r>
    </w:p>
    <w:p w14:paraId="7EEB9220">
      <w:pPr>
        <w:pStyle w:val="54"/>
        <w:tabs>
          <w:tab w:val="left" w:pos="425"/>
          <w:tab w:val="left" w:pos="851"/>
        </w:tabs>
        <w:spacing w:before="156" w:beforeLines="50" w:after="156" w:afterLines="50" w:line="360" w:lineRule="auto"/>
        <w:ind w:left="425" w:firstLine="415" w:firstLineChars="0"/>
        <w:rPr>
          <w:rFonts w:eastAsia="楷体_GB2312"/>
          <w:b/>
          <w:bCs/>
          <w:i/>
          <w:iCs/>
          <w:color w:val="FF0000"/>
          <w:sz w:val="24"/>
        </w:rPr>
      </w:pPr>
      <w:r>
        <w:rPr>
          <w:rFonts w:hint="eastAsia" w:eastAsia="楷体_GB2312"/>
          <w:b/>
          <w:bCs/>
          <w:i/>
          <w:iCs/>
          <w:color w:val="FF0000"/>
          <w:sz w:val="24"/>
        </w:rPr>
        <w:t>【注：各类日期中是否含该日可根据具体项目情况进行调整。】</w:t>
      </w:r>
    </w:p>
    <w:p w14:paraId="2E51DB26">
      <w:pPr>
        <w:pStyle w:val="6"/>
        <w:numPr>
          <w:ilvl w:val="0"/>
          <w:numId w:val="12"/>
        </w:numPr>
        <w:spacing w:before="156" w:beforeLines="50" w:after="156" w:afterLines="50" w:line="360" w:lineRule="auto"/>
        <w:ind w:leftChars="0"/>
        <w:outlineLvl w:val="2"/>
        <w:rPr>
          <w:rFonts w:eastAsia="楷体_GB2312"/>
          <w:b/>
          <w:color w:val="000000" w:themeColor="text1"/>
          <w:sz w:val="24"/>
          <w14:textFill>
            <w14:solidFill>
              <w14:schemeClr w14:val="tx1"/>
            </w14:solidFill>
          </w14:textFill>
        </w:rPr>
      </w:pPr>
      <w:bookmarkStart w:id="42" w:name="_Toc449517368"/>
      <w:r>
        <w:rPr>
          <w:rFonts w:eastAsia="楷体_GB2312"/>
          <w:b/>
          <w:color w:val="000000" w:themeColor="text1"/>
          <w:sz w:val="24"/>
          <w14:textFill>
            <w14:solidFill>
              <w14:schemeClr w14:val="tx1"/>
            </w14:solidFill>
          </w14:textFill>
        </w:rPr>
        <w:t>报告</w:t>
      </w:r>
      <w:bookmarkEnd w:id="42"/>
      <w:r>
        <w:rPr>
          <w:rFonts w:eastAsia="楷体_GB2312"/>
          <w:b/>
          <w:color w:val="000000" w:themeColor="text1"/>
          <w:sz w:val="24"/>
          <w14:textFill>
            <w14:solidFill>
              <w14:schemeClr w14:val="tx1"/>
            </w14:solidFill>
          </w14:textFill>
        </w:rPr>
        <w:t>类的定义</w:t>
      </w:r>
    </w:p>
    <w:p w14:paraId="15510EA8">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受托机构报告：</w:t>
      </w:r>
      <w:r>
        <w:rPr>
          <w:rFonts w:eastAsia="楷体_GB2312"/>
          <w:bCs/>
          <w:sz w:val="24"/>
        </w:rPr>
        <w:t>系指</w:t>
      </w:r>
      <w:r>
        <w:rPr>
          <w:rFonts w:eastAsia="楷体_GB2312"/>
          <w:kern w:val="0"/>
          <w:sz w:val="24"/>
        </w:rPr>
        <w:t>由</w:t>
      </w:r>
      <w:r>
        <w:rPr>
          <w:rFonts w:eastAsia="楷体_GB2312"/>
          <w:sz w:val="24"/>
        </w:rPr>
        <w:t>“受托人”</w:t>
      </w:r>
      <w:r>
        <w:rPr>
          <w:rFonts w:eastAsia="楷体_GB2312"/>
          <w:kern w:val="0"/>
          <w:sz w:val="24"/>
        </w:rPr>
        <w:t>根据“《信托合同》”【附件十】所</w:t>
      </w:r>
      <w:r>
        <w:rPr>
          <w:rFonts w:eastAsia="楷体_GB2312"/>
          <w:bCs/>
          <w:sz w:val="24"/>
        </w:rPr>
        <w:t>约</w:t>
      </w:r>
      <w:r>
        <w:rPr>
          <w:rFonts w:eastAsia="楷体_GB2312"/>
          <w:kern w:val="0"/>
          <w:sz w:val="24"/>
        </w:rPr>
        <w:t>定的格式准备的报告</w:t>
      </w:r>
      <w:r>
        <w:rPr>
          <w:rFonts w:eastAsia="楷体_GB2312"/>
          <w:sz w:val="24"/>
        </w:rPr>
        <w:t>，该报告应反映当期“资产支持证券”对应的“资产池”状况和各级“资产支持证券”对应的本息支付等方面信息。</w:t>
      </w:r>
    </w:p>
    <w:p w14:paraId="61AC124E">
      <w:pPr>
        <w:tabs>
          <w:tab w:val="left" w:pos="425"/>
          <w:tab w:val="left" w:pos="851"/>
        </w:tabs>
        <w:spacing w:before="156" w:beforeLines="50" w:after="156" w:afterLines="50" w:line="360" w:lineRule="auto"/>
        <w:ind w:left="851"/>
        <w:rPr>
          <w:rFonts w:eastAsia="楷体_GB2312"/>
          <w:b/>
          <w:bCs/>
          <w:sz w:val="24"/>
        </w:rPr>
      </w:pPr>
      <w:r>
        <w:rPr>
          <w:rFonts w:eastAsia="楷体_GB2312"/>
          <w:b/>
          <w:i/>
          <w:iCs/>
          <w:color w:val="FF0000"/>
          <w:sz w:val="24"/>
        </w:rPr>
        <w:t>【注：信贷ABS信息披露指引如有编制半年度等受托机构报告要求且不符合豁免要求的，应当编制半年度受托机构报告。】</w:t>
      </w:r>
    </w:p>
    <w:p w14:paraId="21471AEC">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贷款服务机构报告：</w:t>
      </w:r>
      <w:r>
        <w:rPr>
          <w:rFonts w:eastAsia="楷体_GB2312"/>
          <w:kern w:val="0"/>
          <w:sz w:val="24"/>
        </w:rPr>
        <w:t>系指由“贷款服务机构”根据“《服务合同》”【附件三】所</w:t>
      </w:r>
      <w:r>
        <w:rPr>
          <w:rFonts w:eastAsia="楷体_GB2312"/>
          <w:bCs/>
          <w:sz w:val="24"/>
        </w:rPr>
        <w:t>约</w:t>
      </w:r>
      <w:r>
        <w:rPr>
          <w:rFonts w:eastAsia="楷体_GB2312"/>
          <w:kern w:val="0"/>
          <w:sz w:val="24"/>
        </w:rPr>
        <w:t>定的格式准备的报告。</w:t>
      </w:r>
    </w:p>
    <w:p w14:paraId="3FE08861">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color w:val="000000"/>
          <w:sz w:val="24"/>
        </w:rPr>
        <w:t>资金</w:t>
      </w:r>
      <w:r>
        <w:rPr>
          <w:rFonts w:eastAsia="楷体_GB2312"/>
          <w:b/>
          <w:bCs/>
          <w:sz w:val="24"/>
        </w:rPr>
        <w:t>保管报告：</w:t>
      </w:r>
      <w:r>
        <w:rPr>
          <w:rFonts w:eastAsia="楷体_GB2312"/>
          <w:kern w:val="0"/>
          <w:sz w:val="24"/>
        </w:rPr>
        <w:t>系指由</w:t>
      </w:r>
      <w:r>
        <w:rPr>
          <w:rFonts w:eastAsia="楷体_GB2312"/>
          <w:sz w:val="24"/>
        </w:rPr>
        <w:t>“资金保管机构”</w:t>
      </w:r>
      <w:r>
        <w:rPr>
          <w:rFonts w:eastAsia="楷体_GB2312"/>
          <w:kern w:val="0"/>
          <w:sz w:val="24"/>
        </w:rPr>
        <w:t>根据“《资金保管合同》”【附件四】所</w:t>
      </w:r>
      <w:r>
        <w:rPr>
          <w:rFonts w:eastAsia="楷体_GB2312"/>
          <w:bCs/>
          <w:sz w:val="24"/>
        </w:rPr>
        <w:t>约</w:t>
      </w:r>
      <w:r>
        <w:rPr>
          <w:rFonts w:eastAsia="楷体_GB2312"/>
          <w:kern w:val="0"/>
          <w:sz w:val="24"/>
        </w:rPr>
        <w:t>定的格式准备的报告。</w:t>
      </w:r>
    </w:p>
    <w:p w14:paraId="23DCD75E">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bCs/>
          <w:sz w:val="24"/>
        </w:rPr>
        <w:t>对贷款服务机构报告执行商定程序的报告：</w:t>
      </w:r>
      <w:r>
        <w:rPr>
          <w:rFonts w:eastAsia="楷体_GB2312"/>
          <w:kern w:val="0"/>
          <w:sz w:val="24"/>
        </w:rPr>
        <w:t>系指由“受托人”委任的“审计师”针对“贷款服务机构报告”出具的报告。</w:t>
      </w:r>
    </w:p>
    <w:p w14:paraId="6A3EFABA">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划款指令：</w:t>
      </w:r>
      <w:r>
        <w:rPr>
          <w:rFonts w:eastAsia="楷体_GB2312"/>
          <w:sz w:val="24"/>
        </w:rPr>
        <w:t>系指“受托人”根据“《资金保管合同》”【附件二】所约定的格式向“资金保管机构”发出的要求其划付资金的指令。</w:t>
      </w:r>
    </w:p>
    <w:p w14:paraId="0D2599A6">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bCs/>
          <w:sz w:val="24"/>
        </w:rPr>
        <w:t>权利完善通知：</w:t>
      </w:r>
      <w:r>
        <w:rPr>
          <w:rFonts w:eastAsia="楷体_GB2312"/>
          <w:kern w:val="0"/>
          <w:sz w:val="24"/>
        </w:rPr>
        <w:t>系指为完善“受托人”在“信贷资产”中的全部或部分权益而向“借款人”、“担保人”（如有）发送的通知。</w:t>
      </w:r>
    </w:p>
    <w:p w14:paraId="7684343E">
      <w:pPr>
        <w:pStyle w:val="6"/>
        <w:numPr>
          <w:ilvl w:val="0"/>
          <w:numId w:val="3"/>
        </w:numPr>
        <w:spacing w:before="156" w:beforeLines="50" w:after="156" w:afterLines="50" w:line="360" w:lineRule="auto"/>
        <w:ind w:leftChars="0"/>
        <w:outlineLvl w:val="1"/>
        <w:rPr>
          <w:rFonts w:eastAsia="楷体_GB2312"/>
          <w:b/>
          <w:sz w:val="24"/>
        </w:rPr>
      </w:pPr>
      <w:bookmarkStart w:id="43" w:name="_Toc173860442"/>
      <w:r>
        <w:rPr>
          <w:rFonts w:eastAsia="楷体_GB2312"/>
          <w:b/>
          <w:sz w:val="24"/>
        </w:rPr>
        <w:t>重大事件与指标的定义</w:t>
      </w:r>
      <w:bookmarkEnd w:id="43"/>
    </w:p>
    <w:p w14:paraId="48D51E8B">
      <w:pPr>
        <w:pStyle w:val="6"/>
        <w:numPr>
          <w:ilvl w:val="0"/>
          <w:numId w:val="15"/>
        </w:numPr>
        <w:spacing w:before="156" w:beforeLines="50" w:after="156" w:afterLines="50" w:line="360" w:lineRule="auto"/>
        <w:ind w:leftChars="0"/>
        <w:outlineLvl w:val="2"/>
        <w:rPr>
          <w:rFonts w:eastAsia="楷体_GB2312"/>
          <w:b/>
          <w:sz w:val="24"/>
        </w:rPr>
      </w:pPr>
      <w:r>
        <w:rPr>
          <w:rFonts w:eastAsia="楷体_GB2312"/>
          <w:b/>
          <w:sz w:val="24"/>
        </w:rPr>
        <w:t>项目</w:t>
      </w:r>
      <w:r>
        <w:rPr>
          <w:rFonts w:eastAsia="楷体_GB2312"/>
          <w:b/>
          <w:color w:val="000000" w:themeColor="text1"/>
          <w:sz w:val="24"/>
          <w14:textFill>
            <w14:solidFill>
              <w14:schemeClr w14:val="tx1"/>
            </w14:solidFill>
          </w14:textFill>
        </w:rPr>
        <w:t>涉及的重大事件的定义</w:t>
      </w:r>
    </w:p>
    <w:p w14:paraId="33018341">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加速清偿事件：</w:t>
      </w:r>
      <w:r>
        <w:rPr>
          <w:rFonts w:eastAsia="楷体_GB2312"/>
          <w:kern w:val="0"/>
          <w:sz w:val="24"/>
        </w:rPr>
        <w:t>系指以</w:t>
      </w:r>
      <w:r>
        <w:rPr>
          <w:rFonts w:eastAsia="楷体_GB2312"/>
          <w:sz w:val="24"/>
        </w:rPr>
        <w:t>下任</w:t>
      </w:r>
      <w:r>
        <w:rPr>
          <w:rFonts w:eastAsia="楷体_GB2312"/>
          <w:kern w:val="0"/>
          <w:sz w:val="24"/>
        </w:rPr>
        <w:t>一事件：</w:t>
      </w:r>
    </w:p>
    <w:p w14:paraId="5C151666">
      <w:pPr>
        <w:spacing w:before="156" w:beforeLines="50" w:after="156" w:afterLines="50" w:line="360" w:lineRule="auto"/>
        <w:ind w:left="851"/>
        <w:rPr>
          <w:rFonts w:eastAsia="楷体_GB2312"/>
          <w:kern w:val="0"/>
          <w:sz w:val="24"/>
        </w:rPr>
      </w:pPr>
      <w:r>
        <w:rPr>
          <w:rFonts w:eastAsia="楷体_GB2312"/>
          <w:kern w:val="0"/>
          <w:sz w:val="24"/>
        </w:rPr>
        <w:t>自动生效的加速清偿事件：</w:t>
      </w:r>
    </w:p>
    <w:p w14:paraId="30093354">
      <w:pPr>
        <w:numPr>
          <w:ilvl w:val="0"/>
          <w:numId w:val="16"/>
        </w:numPr>
        <w:spacing w:before="156" w:beforeLines="50" w:after="156" w:afterLines="50" w:line="360" w:lineRule="auto"/>
        <w:rPr>
          <w:rFonts w:eastAsia="楷体_GB2312"/>
          <w:kern w:val="0"/>
          <w:sz w:val="24"/>
        </w:rPr>
      </w:pPr>
      <w:bookmarkStart w:id="44" w:name="_Ref418866178"/>
      <w:r>
        <w:rPr>
          <w:rFonts w:eastAsia="楷体_GB2312"/>
          <w:kern w:val="0"/>
          <w:sz w:val="24"/>
        </w:rPr>
        <w:t>“委托人”发生</w:t>
      </w:r>
      <w:r>
        <w:rPr>
          <w:rFonts w:eastAsia="楷体_GB2312"/>
          <w:sz w:val="24"/>
        </w:rPr>
        <w:t>任何</w:t>
      </w:r>
      <w:r>
        <w:rPr>
          <w:rFonts w:eastAsia="楷体_GB2312"/>
          <w:kern w:val="0"/>
          <w:sz w:val="24"/>
        </w:rPr>
        <w:t>“丧失清偿能力事件”；</w:t>
      </w:r>
      <w:bookmarkEnd w:id="44"/>
    </w:p>
    <w:p w14:paraId="6C02E30C">
      <w:pPr>
        <w:numPr>
          <w:ilvl w:val="0"/>
          <w:numId w:val="16"/>
        </w:numPr>
        <w:tabs>
          <w:tab w:val="left" w:pos="2356"/>
        </w:tabs>
        <w:spacing w:before="156" w:beforeLines="50" w:after="156" w:afterLines="50" w:line="360" w:lineRule="auto"/>
        <w:rPr>
          <w:rFonts w:eastAsia="楷体_GB2312"/>
          <w:kern w:val="0"/>
          <w:sz w:val="24"/>
        </w:rPr>
      </w:pPr>
      <w:r>
        <w:rPr>
          <w:rFonts w:eastAsia="楷体_GB2312"/>
          <w:kern w:val="0"/>
          <w:sz w:val="24"/>
        </w:rPr>
        <w:t>发生任何“</w:t>
      </w:r>
      <w:r>
        <w:rPr>
          <w:rFonts w:eastAsia="楷体_GB2312"/>
          <w:sz w:val="24"/>
        </w:rPr>
        <w:t>贷款</w:t>
      </w:r>
      <w:r>
        <w:rPr>
          <w:rFonts w:eastAsia="楷体_GB2312"/>
          <w:kern w:val="0"/>
          <w:sz w:val="24"/>
        </w:rPr>
        <w:t>服务机构解任事件”；</w:t>
      </w:r>
    </w:p>
    <w:p w14:paraId="45CD32C7">
      <w:pPr>
        <w:numPr>
          <w:ilvl w:val="0"/>
          <w:numId w:val="16"/>
        </w:numPr>
        <w:tabs>
          <w:tab w:val="left" w:pos="2356"/>
        </w:tabs>
        <w:spacing w:before="156" w:beforeLines="50" w:after="156" w:afterLines="50" w:line="360" w:lineRule="auto"/>
        <w:rPr>
          <w:rFonts w:eastAsia="楷体_GB2312"/>
          <w:kern w:val="0"/>
          <w:sz w:val="24"/>
        </w:rPr>
      </w:pPr>
      <w:bookmarkStart w:id="45" w:name="_Ref418866134"/>
      <w:r>
        <w:rPr>
          <w:rFonts w:eastAsia="楷体_GB2312"/>
          <w:sz w:val="24"/>
        </w:rPr>
        <w:t>“贷款服务机构”</w:t>
      </w:r>
      <w:r>
        <w:rPr>
          <w:rFonts w:eastAsia="楷体_GB2312"/>
          <w:kern w:val="0"/>
          <w:sz w:val="24"/>
        </w:rPr>
        <w:t>未能依据“交易文件”的约定按时付款或划转资金；</w:t>
      </w:r>
      <w:bookmarkEnd w:id="45"/>
    </w:p>
    <w:p w14:paraId="6C21DA07">
      <w:pPr>
        <w:numPr>
          <w:ilvl w:val="0"/>
          <w:numId w:val="16"/>
        </w:numPr>
        <w:tabs>
          <w:tab w:val="left" w:pos="2356"/>
        </w:tabs>
        <w:spacing w:before="156" w:beforeLines="50" w:after="156" w:afterLines="50" w:line="360" w:lineRule="auto"/>
        <w:rPr>
          <w:rFonts w:eastAsia="楷体_GB2312"/>
          <w:kern w:val="0"/>
          <w:sz w:val="24"/>
        </w:rPr>
      </w:pPr>
      <w:r>
        <w:rPr>
          <w:rFonts w:eastAsia="楷体_GB2312"/>
          <w:kern w:val="0"/>
          <w:sz w:val="24"/>
        </w:rPr>
        <w:t>(i)</w:t>
      </w:r>
      <w:r>
        <w:rPr>
          <w:rFonts w:eastAsia="楷体_GB2312"/>
          <w:sz w:val="24"/>
        </w:rPr>
        <w:t>根据“《信托合同》”的约定，需要更换“受托人”或必须任命“后备贷款服务机构”，但在【】日内，仍无法找到合格的继任的“受托人”或“后备贷款</w:t>
      </w:r>
      <w:r>
        <w:rPr>
          <w:rFonts w:eastAsia="楷体_GB2312"/>
          <w:bCs/>
          <w:sz w:val="24"/>
        </w:rPr>
        <w:t>服务</w:t>
      </w:r>
      <w:r>
        <w:rPr>
          <w:rFonts w:eastAsia="楷体_GB2312"/>
          <w:sz w:val="24"/>
        </w:rPr>
        <w:t>机构”，或(</w:t>
      </w:r>
      <w:r>
        <w:rPr>
          <w:rFonts w:eastAsia="楷体_GB2312"/>
          <w:kern w:val="0"/>
          <w:sz w:val="24"/>
        </w:rPr>
        <w:t>ii)在已经委任“后备贷款服务机构”的情况下，该“后备贷款服务机构”停止根据“《服务合同》”提供“后备服务”，或(iii)“后备贷款服务机构”被免职时，未能根据“交易文件”的约定任命继任者；</w:t>
      </w:r>
    </w:p>
    <w:p w14:paraId="69B6214C">
      <w:pPr>
        <w:numPr>
          <w:ilvl w:val="0"/>
          <w:numId w:val="16"/>
        </w:numPr>
        <w:tabs>
          <w:tab w:val="left" w:pos="2356"/>
        </w:tabs>
        <w:spacing w:before="156" w:beforeLines="50" w:after="156" w:afterLines="50" w:line="360" w:lineRule="auto"/>
        <w:rPr>
          <w:rFonts w:eastAsia="楷体_GB2312"/>
          <w:kern w:val="0"/>
          <w:sz w:val="24"/>
        </w:rPr>
      </w:pPr>
      <w:bookmarkStart w:id="46" w:name="_Ref418866183"/>
      <w:r>
        <w:rPr>
          <w:rFonts w:eastAsia="楷体_GB2312"/>
          <w:kern w:val="0"/>
          <w:sz w:val="24"/>
        </w:rPr>
        <w:t>在</w:t>
      </w:r>
      <w:r>
        <w:rPr>
          <w:rFonts w:eastAsia="楷体_GB2312"/>
          <w:sz w:val="24"/>
        </w:rPr>
        <w:t>“信托期限”</w:t>
      </w:r>
      <w:r>
        <w:rPr>
          <w:rFonts w:eastAsia="楷体_GB2312"/>
          <w:kern w:val="0"/>
          <w:sz w:val="24"/>
        </w:rPr>
        <w:t>内，某一“收款期间”结束时的“累计违约率”超过</w:t>
      </w:r>
      <w:r>
        <w:rPr>
          <w:rFonts w:eastAsia="楷体_GB2312"/>
          <w:bCs/>
          <w:kern w:val="0"/>
          <w:sz w:val="24"/>
        </w:rPr>
        <w:t>【</w:t>
      </w:r>
      <w:r>
        <w:rPr>
          <w:rFonts w:eastAsia="楷体_GB2312"/>
          <w:kern w:val="0"/>
          <w:sz w:val="24"/>
        </w:rPr>
        <w:t>】％；</w:t>
      </w:r>
      <w:bookmarkEnd w:id="46"/>
    </w:p>
    <w:p w14:paraId="0B284A09">
      <w:pPr>
        <w:numPr>
          <w:ilvl w:val="0"/>
          <w:numId w:val="16"/>
        </w:numPr>
        <w:tabs>
          <w:tab w:val="left" w:pos="2356"/>
        </w:tabs>
        <w:spacing w:before="156" w:beforeLines="50" w:after="156" w:afterLines="50" w:line="360" w:lineRule="auto"/>
        <w:rPr>
          <w:rFonts w:eastAsia="楷体_GB2312"/>
          <w:kern w:val="0"/>
          <w:sz w:val="24"/>
        </w:rPr>
      </w:pPr>
      <w:r>
        <w:rPr>
          <w:rFonts w:eastAsia="楷体_GB2312"/>
          <w:bCs/>
          <w:sz w:val="24"/>
        </w:rPr>
        <w:t>在“优先A档资产支持证券”“预期到期日”前一个“信托利益核算日”，按照“《信托合同》”</w:t>
      </w:r>
      <w:r>
        <w:rPr>
          <w:rFonts w:eastAsia="楷体_GB2312"/>
          <w:kern w:val="0"/>
          <w:sz w:val="24"/>
        </w:rPr>
        <w:t>第</w:t>
      </w:r>
      <w:r>
        <w:rPr>
          <w:rFonts w:eastAsia="楷体_GB2312"/>
          <w:bCs/>
          <w:kern w:val="0"/>
          <w:sz w:val="24"/>
        </w:rPr>
        <w:t>【</w:t>
      </w:r>
      <w:r>
        <w:rPr>
          <w:rFonts w:eastAsia="楷体_GB2312"/>
          <w:kern w:val="0"/>
          <w:sz w:val="24"/>
        </w:rPr>
        <w:t>10.4.2】款约</w:t>
      </w:r>
      <w:r>
        <w:rPr>
          <w:rFonts w:eastAsia="楷体_GB2312"/>
          <w:bCs/>
          <w:sz w:val="24"/>
        </w:rPr>
        <w:t>定的分配顺序无法足额分配“优先A档资产支持证券”的“未偿本金余额”；</w:t>
      </w:r>
    </w:p>
    <w:p w14:paraId="23AD048D">
      <w:pPr>
        <w:numPr>
          <w:ilvl w:val="0"/>
          <w:numId w:val="16"/>
        </w:numPr>
        <w:tabs>
          <w:tab w:val="left" w:pos="2356"/>
        </w:tabs>
        <w:spacing w:before="156" w:beforeLines="50" w:after="156" w:afterLines="50" w:line="360" w:lineRule="auto"/>
        <w:rPr>
          <w:rFonts w:eastAsia="楷体_GB2312"/>
          <w:kern w:val="0"/>
          <w:sz w:val="24"/>
        </w:rPr>
      </w:pPr>
      <w:bookmarkStart w:id="47" w:name="_Ref424030280"/>
      <w:r>
        <w:rPr>
          <w:rFonts w:eastAsia="楷体_GB2312"/>
          <w:bCs/>
          <w:sz w:val="24"/>
        </w:rPr>
        <w:t>在“优先B档资产支持证券”“预期到期日”前一个“信托利益核算日”，按照“《信托合同》”</w:t>
      </w:r>
      <w:r>
        <w:rPr>
          <w:rFonts w:eastAsia="楷体_GB2312"/>
          <w:sz w:val="24"/>
        </w:rPr>
        <w:t>第</w:t>
      </w:r>
      <w:r>
        <w:rPr>
          <w:rFonts w:eastAsia="楷体_GB2312"/>
          <w:bCs/>
          <w:sz w:val="24"/>
        </w:rPr>
        <w:t>【10.4.2】款约定的分配顺序无法足额分配“优先B档资产支持证券”的“未偿本金余额”；</w:t>
      </w:r>
      <w:bookmarkEnd w:id="47"/>
    </w:p>
    <w:p w14:paraId="3F94616D">
      <w:pPr>
        <w:tabs>
          <w:tab w:val="left" w:pos="425"/>
          <w:tab w:val="left" w:pos="851"/>
          <w:tab w:val="left" w:pos="2763"/>
        </w:tabs>
        <w:spacing w:before="156" w:beforeLines="50" w:after="156" w:afterLines="50" w:line="360" w:lineRule="auto"/>
        <w:ind w:left="851"/>
        <w:rPr>
          <w:rFonts w:eastAsia="楷体_GB2312"/>
          <w:b/>
          <w:bCs/>
          <w:i/>
          <w:color w:val="FF0000"/>
          <w:sz w:val="24"/>
        </w:rPr>
      </w:pPr>
      <w:r>
        <w:rPr>
          <w:rFonts w:eastAsia="楷体_GB2312"/>
          <w:b/>
          <w:bCs/>
          <w:i/>
          <w:color w:val="FF0000"/>
          <w:sz w:val="24"/>
        </w:rPr>
        <w:t>【注：此处可根据具体项目资产支持证券分层情况对触发事件进行细分调整。】</w:t>
      </w:r>
    </w:p>
    <w:p w14:paraId="3A6A6206">
      <w:pPr>
        <w:spacing w:before="156" w:beforeLines="50" w:after="156" w:afterLines="50" w:line="360" w:lineRule="auto"/>
        <w:ind w:left="851"/>
        <w:rPr>
          <w:rFonts w:eastAsia="楷体_GB2312"/>
          <w:kern w:val="0"/>
          <w:sz w:val="24"/>
        </w:rPr>
      </w:pPr>
      <w:r>
        <w:rPr>
          <w:rFonts w:eastAsia="楷体_GB2312"/>
          <w:kern w:val="0"/>
          <w:sz w:val="24"/>
        </w:rPr>
        <w:t>需经宣布生效的加速清偿事件：</w:t>
      </w:r>
    </w:p>
    <w:p w14:paraId="1E3F4857">
      <w:pPr>
        <w:numPr>
          <w:ilvl w:val="0"/>
          <w:numId w:val="16"/>
        </w:numPr>
        <w:tabs>
          <w:tab w:val="left" w:pos="2356"/>
        </w:tabs>
        <w:spacing w:before="156" w:beforeLines="50" w:after="156" w:afterLines="50" w:line="360" w:lineRule="auto"/>
        <w:rPr>
          <w:rFonts w:eastAsia="楷体_GB2312"/>
          <w:bCs/>
          <w:sz w:val="24"/>
        </w:rPr>
      </w:pPr>
      <w:bookmarkStart w:id="48" w:name="_Ref418866197"/>
      <w:r>
        <w:rPr>
          <w:rFonts w:eastAsia="楷体_GB2312"/>
          <w:bCs/>
          <w:sz w:val="24"/>
        </w:rPr>
        <w:t>“委托人”或“贷款服务机构”未能履行或遵守其在“交易文件”项下的任何主要义务（上述</w:t>
      </w:r>
      <w:r>
        <w:rPr>
          <w:rFonts w:eastAsia="楷体_GB2312"/>
          <w:bCs/>
          <w:sz w:val="24"/>
        </w:rPr>
        <w:fldChar w:fldCharType="begin"/>
      </w:r>
      <w:r>
        <w:rPr>
          <w:rFonts w:eastAsia="楷体_GB2312"/>
          <w:bCs/>
          <w:sz w:val="24"/>
        </w:rPr>
        <w:instrText xml:space="preserve"> REF _Ref418866134 \r \h  \* MERGEFORMAT </w:instrText>
      </w:r>
      <w:r>
        <w:rPr>
          <w:rFonts w:eastAsia="楷体_GB2312"/>
          <w:bCs/>
          <w:sz w:val="24"/>
        </w:rPr>
        <w:fldChar w:fldCharType="separate"/>
      </w:r>
      <w:r>
        <w:rPr>
          <w:rFonts w:eastAsia="楷体_GB2312"/>
          <w:bCs/>
          <w:sz w:val="24"/>
        </w:rPr>
        <w:t>(c)</w:t>
      </w:r>
      <w:r>
        <w:rPr>
          <w:rFonts w:eastAsia="楷体_GB2312"/>
          <w:bCs/>
          <w:sz w:val="24"/>
        </w:rPr>
        <w:fldChar w:fldCharType="end"/>
      </w:r>
      <w:r>
        <w:rPr>
          <w:rFonts w:eastAsia="楷体_GB2312"/>
          <w:bCs/>
          <w:sz w:val="24"/>
        </w:rPr>
        <w:t>项约定的义务除外），并且“受托人”合理地认为该等行为无法补救或在“受托人”发出要求其补救的书面通知后【】天内未能得到补救；</w:t>
      </w:r>
      <w:bookmarkEnd w:id="48"/>
    </w:p>
    <w:p w14:paraId="7CC6E201">
      <w:pPr>
        <w:numPr>
          <w:ilvl w:val="0"/>
          <w:numId w:val="16"/>
        </w:numPr>
        <w:tabs>
          <w:tab w:val="left" w:pos="2356"/>
        </w:tabs>
        <w:spacing w:before="156" w:beforeLines="50" w:after="156" w:afterLines="50" w:line="360" w:lineRule="auto"/>
        <w:rPr>
          <w:rFonts w:eastAsia="楷体_GB2312"/>
          <w:bCs/>
          <w:sz w:val="24"/>
        </w:rPr>
      </w:pPr>
      <w:r>
        <w:rPr>
          <w:rFonts w:eastAsia="楷体_GB2312"/>
          <w:bCs/>
          <w:sz w:val="24"/>
        </w:rPr>
        <w:t>“委托人”在“交易文件”中提供的任何陈述、保证（“资产保证”除外）在提供时存在虚假记载、误导性陈述或重大遗漏；</w:t>
      </w:r>
    </w:p>
    <w:p w14:paraId="74D94D9A">
      <w:pPr>
        <w:numPr>
          <w:ilvl w:val="0"/>
          <w:numId w:val="16"/>
        </w:numPr>
        <w:tabs>
          <w:tab w:val="left" w:pos="2356"/>
        </w:tabs>
        <w:spacing w:before="156" w:beforeLines="50" w:after="156" w:afterLines="50" w:line="360" w:lineRule="auto"/>
        <w:rPr>
          <w:rFonts w:eastAsia="楷体_GB2312"/>
          <w:bCs/>
          <w:sz w:val="24"/>
        </w:rPr>
      </w:pPr>
      <w:r>
        <w:rPr>
          <w:rFonts w:eastAsia="楷体_GB2312"/>
          <w:bCs/>
          <w:sz w:val="24"/>
        </w:rPr>
        <w:t>发生对“贷款服务机构”、“委托人”、“受托人”或者“资产池”有“重大不利影响”的事件；</w:t>
      </w:r>
    </w:p>
    <w:p w14:paraId="4F82F5EB">
      <w:pPr>
        <w:numPr>
          <w:ilvl w:val="0"/>
          <w:numId w:val="16"/>
        </w:numPr>
        <w:tabs>
          <w:tab w:val="left" w:pos="2356"/>
        </w:tabs>
        <w:spacing w:before="156" w:beforeLines="50" w:after="156" w:afterLines="50" w:line="360" w:lineRule="auto"/>
        <w:rPr>
          <w:rFonts w:eastAsia="楷体_GB2312"/>
          <w:bCs/>
          <w:sz w:val="24"/>
        </w:rPr>
      </w:pPr>
      <w:bookmarkStart w:id="49" w:name="_Ref418866204"/>
      <w:r>
        <w:rPr>
          <w:rFonts w:eastAsia="楷体_GB2312"/>
          <w:bCs/>
          <w:sz w:val="24"/>
        </w:rPr>
        <w:t>“《信托合同》”、“《服务合同》”、“《资金保管合同》”全部或部分被终止，成为或将成为无效、违法或不可根据其条款主张权利，并由此产生“重大不利影响”。</w:t>
      </w:r>
      <w:bookmarkEnd w:id="49"/>
    </w:p>
    <w:p w14:paraId="6E2124A4">
      <w:pPr>
        <w:spacing w:before="156" w:beforeLines="50" w:after="156" w:afterLines="50" w:line="360" w:lineRule="auto"/>
        <w:ind w:left="851"/>
        <w:rPr>
          <w:rFonts w:eastAsia="楷体_GB2312"/>
          <w:kern w:val="0"/>
          <w:sz w:val="24"/>
        </w:rPr>
      </w:pPr>
      <w:r>
        <w:rPr>
          <w:rFonts w:eastAsia="楷体_GB2312"/>
          <w:kern w:val="0"/>
          <w:sz w:val="24"/>
        </w:rPr>
        <w:t>发生以上</w:t>
      </w:r>
      <w:r>
        <w:rPr>
          <w:rFonts w:eastAsia="楷体_GB2312"/>
        </w:rPr>
        <w:fldChar w:fldCharType="begin"/>
      </w:r>
      <w:r>
        <w:rPr>
          <w:rFonts w:eastAsia="楷体_GB2312"/>
        </w:rPr>
        <w:instrText xml:space="preserve"> REF _Ref418866178 \r \h  \* MERGEFORMAT </w:instrText>
      </w:r>
      <w:r>
        <w:rPr>
          <w:rFonts w:eastAsia="楷体_GB2312"/>
        </w:rPr>
        <w:fldChar w:fldCharType="separate"/>
      </w:r>
      <w:r>
        <w:rPr>
          <w:rFonts w:eastAsia="楷体_GB2312"/>
          <w:kern w:val="0"/>
          <w:sz w:val="24"/>
        </w:rPr>
        <w:t>(a)</w:t>
      </w:r>
      <w:r>
        <w:rPr>
          <w:rFonts w:eastAsia="楷体_GB2312"/>
        </w:rPr>
        <w:fldChar w:fldCharType="end"/>
      </w:r>
      <w:r>
        <w:rPr>
          <w:rFonts w:eastAsia="楷体_GB2312"/>
          <w:kern w:val="0"/>
          <w:sz w:val="24"/>
        </w:rPr>
        <w:t>项至</w:t>
      </w:r>
      <w:r>
        <w:rPr>
          <w:rFonts w:eastAsia="楷体_GB2312"/>
        </w:rPr>
        <w:fldChar w:fldCharType="begin"/>
      </w:r>
      <w:r>
        <w:rPr>
          <w:rFonts w:eastAsia="楷体_GB2312"/>
        </w:rPr>
        <w:instrText xml:space="preserve"> REF _Ref424030280 \r \h  \* MERGEFORMAT </w:instrText>
      </w:r>
      <w:r>
        <w:rPr>
          <w:rFonts w:eastAsia="楷体_GB2312"/>
        </w:rPr>
        <w:fldChar w:fldCharType="separate"/>
      </w:r>
      <w:r>
        <w:rPr>
          <w:rFonts w:eastAsia="楷体_GB2312"/>
          <w:kern w:val="0"/>
          <w:sz w:val="24"/>
        </w:rPr>
        <w:t>(g)</w:t>
      </w:r>
      <w:r>
        <w:rPr>
          <w:rFonts w:eastAsia="楷体_GB2312"/>
        </w:rPr>
        <w:fldChar w:fldCharType="end"/>
      </w:r>
      <w:r>
        <w:rPr>
          <w:rFonts w:eastAsia="楷体_GB2312"/>
          <w:kern w:val="0"/>
          <w:sz w:val="24"/>
        </w:rPr>
        <w:t>项所列的任何一起自动生效的加速清偿事件时，“加速清偿事件”应视为在该等事件发生之日发生。发生以上</w:t>
      </w:r>
      <w:r>
        <w:rPr>
          <w:rFonts w:eastAsia="楷体_GB2312"/>
        </w:rPr>
        <w:fldChar w:fldCharType="begin"/>
      </w:r>
      <w:r>
        <w:rPr>
          <w:rFonts w:eastAsia="楷体_GB2312"/>
        </w:rPr>
        <w:instrText xml:space="preserve"> REF _Ref418866197 \r \h  \* MERGEFORMAT </w:instrText>
      </w:r>
      <w:r>
        <w:rPr>
          <w:rFonts w:eastAsia="楷体_GB2312"/>
        </w:rPr>
        <w:fldChar w:fldCharType="separate"/>
      </w:r>
      <w:r>
        <w:rPr>
          <w:rFonts w:eastAsia="楷体_GB2312"/>
          <w:kern w:val="0"/>
          <w:sz w:val="24"/>
        </w:rPr>
        <w:t>(h)</w:t>
      </w:r>
      <w:r>
        <w:rPr>
          <w:rFonts w:eastAsia="楷体_GB2312"/>
        </w:rPr>
        <w:fldChar w:fldCharType="end"/>
      </w:r>
      <w:r>
        <w:rPr>
          <w:rFonts w:eastAsia="楷体_GB2312"/>
          <w:kern w:val="0"/>
          <w:sz w:val="24"/>
        </w:rPr>
        <w:t>项至</w:t>
      </w:r>
      <w:r>
        <w:rPr>
          <w:rFonts w:eastAsia="楷体_GB2312"/>
        </w:rPr>
        <w:fldChar w:fldCharType="begin"/>
      </w:r>
      <w:r>
        <w:rPr>
          <w:rFonts w:eastAsia="楷体_GB2312"/>
        </w:rPr>
        <w:instrText xml:space="preserve"> REF _Ref418866204 \r \h  \* MERGEFORMAT </w:instrText>
      </w:r>
      <w:r>
        <w:rPr>
          <w:rFonts w:eastAsia="楷体_GB2312"/>
        </w:rPr>
        <w:fldChar w:fldCharType="separate"/>
      </w:r>
      <w:r>
        <w:rPr>
          <w:rFonts w:eastAsia="楷体_GB2312"/>
          <w:kern w:val="0"/>
          <w:sz w:val="24"/>
        </w:rPr>
        <w:t>(k)</w:t>
      </w:r>
      <w:r>
        <w:rPr>
          <w:rFonts w:eastAsia="楷体_GB2312"/>
        </w:rPr>
        <w:fldChar w:fldCharType="end"/>
      </w:r>
      <w:r>
        <w:rPr>
          <w:rFonts w:eastAsia="楷体_GB2312"/>
          <w:kern w:val="0"/>
          <w:sz w:val="24"/>
        </w:rPr>
        <w:t>项所列的任何一起需经宣布生效的加速清偿事件时，“受托人”应通知所有的“资产支持证券持有人”。</w:t>
      </w:r>
      <w:r>
        <w:rPr>
          <w:rFonts w:eastAsia="楷体_GB2312"/>
          <w:sz w:val="24"/>
        </w:rPr>
        <w:t>“资产支持证券持有人大会”决议</w:t>
      </w:r>
      <w:r>
        <w:rPr>
          <w:rFonts w:eastAsia="楷体_GB2312"/>
          <w:kern w:val="0"/>
          <w:sz w:val="24"/>
        </w:rPr>
        <w:t>宣布发生</w:t>
      </w:r>
      <w:r>
        <w:rPr>
          <w:rFonts w:eastAsia="楷体_GB2312"/>
          <w:sz w:val="24"/>
        </w:rPr>
        <w:t>“加速清偿事件”的，“受托人”</w:t>
      </w:r>
      <w:r>
        <w:rPr>
          <w:rFonts w:eastAsia="楷体_GB2312"/>
          <w:kern w:val="0"/>
          <w:sz w:val="24"/>
        </w:rPr>
        <w:t>应向“贷款服务机构”、“资金保管机构”、“登记托管机构”、“支付代理机构”和“评级机构”发送书面通知，宣布“加速清偿事件”已经发生。</w:t>
      </w:r>
    </w:p>
    <w:p w14:paraId="0887937B">
      <w:pPr>
        <w:tabs>
          <w:tab w:val="left" w:pos="425"/>
          <w:tab w:val="left" w:pos="851"/>
          <w:tab w:val="left" w:pos="2763"/>
        </w:tabs>
        <w:spacing w:before="156" w:beforeLines="50" w:after="156" w:afterLines="50" w:line="360" w:lineRule="auto"/>
        <w:ind w:left="851"/>
        <w:rPr>
          <w:rFonts w:eastAsia="楷体_GB2312"/>
          <w:b/>
          <w:bCs/>
          <w:i/>
          <w:color w:val="FF0000"/>
          <w:sz w:val="24"/>
        </w:rPr>
      </w:pPr>
      <w:r>
        <w:rPr>
          <w:rFonts w:eastAsia="楷体_GB2312"/>
          <w:b/>
          <w:bCs/>
          <w:i/>
          <w:color w:val="FF0000"/>
          <w:sz w:val="24"/>
        </w:rPr>
        <w:t>【注：加速清偿事件的内容可根据项目实际情况进行调整。】</w:t>
      </w:r>
    </w:p>
    <w:p w14:paraId="54317860">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违约事件：</w:t>
      </w:r>
      <w:r>
        <w:rPr>
          <w:rFonts w:eastAsia="楷体_GB2312"/>
          <w:sz w:val="24"/>
        </w:rPr>
        <w:t>系指以下任一事件：</w:t>
      </w:r>
    </w:p>
    <w:p w14:paraId="08E3D88A">
      <w:pPr>
        <w:numPr>
          <w:ilvl w:val="0"/>
          <w:numId w:val="17"/>
        </w:numPr>
        <w:spacing w:before="156" w:beforeLines="50" w:after="156" w:afterLines="50" w:line="360" w:lineRule="auto"/>
        <w:rPr>
          <w:rFonts w:eastAsia="楷体_GB2312"/>
          <w:kern w:val="0"/>
          <w:sz w:val="24"/>
        </w:rPr>
      </w:pPr>
      <w:r>
        <w:rPr>
          <w:rFonts w:eastAsia="楷体_GB2312"/>
          <w:kern w:val="0"/>
          <w:sz w:val="24"/>
        </w:rPr>
        <w:t>“回收款”不能合法有效交付给“受托人”或未能对抗第三人对相关“回收款”提出的权利主张；</w:t>
      </w:r>
    </w:p>
    <w:p w14:paraId="27F6DB8F">
      <w:pPr>
        <w:numPr>
          <w:ilvl w:val="0"/>
          <w:numId w:val="17"/>
        </w:numPr>
        <w:tabs>
          <w:tab w:val="left" w:pos="2356"/>
        </w:tabs>
        <w:spacing w:before="156" w:beforeLines="50" w:after="156" w:afterLines="50" w:line="360" w:lineRule="auto"/>
        <w:rPr>
          <w:rFonts w:eastAsia="楷体_GB2312"/>
          <w:kern w:val="0"/>
          <w:sz w:val="24"/>
        </w:rPr>
      </w:pPr>
      <w:r>
        <w:rPr>
          <w:rFonts w:eastAsia="楷体_GB2312"/>
          <w:kern w:val="0"/>
          <w:sz w:val="24"/>
        </w:rPr>
        <w:t>“受托人”未能在“支付日”后【】个</w:t>
      </w:r>
      <w:r>
        <w:rPr>
          <w:rFonts w:eastAsia="楷体_GB2312"/>
          <w:bCs/>
          <w:sz w:val="24"/>
        </w:rPr>
        <w:t>“工作日”</w:t>
      </w:r>
      <w:r>
        <w:rPr>
          <w:rFonts w:eastAsia="楷体_GB2312"/>
          <w:kern w:val="0"/>
          <w:sz w:val="24"/>
        </w:rPr>
        <w:t>内（或在“资产支持证券持有人大会”允许的宽限期内）足额支付</w:t>
      </w:r>
      <w:r>
        <w:rPr>
          <w:rFonts w:hint="eastAsia" w:eastAsia="楷体_GB2312"/>
          <w:kern w:val="0"/>
          <w:sz w:val="24"/>
        </w:rPr>
        <w:t>任一档</w:t>
      </w:r>
      <w:r>
        <w:rPr>
          <w:rFonts w:eastAsia="楷体_GB2312"/>
          <w:kern w:val="0"/>
          <w:sz w:val="24"/>
        </w:rPr>
        <w:t>“优先级资产支持证券”应付未付利息的；</w:t>
      </w:r>
    </w:p>
    <w:p w14:paraId="4451C3FB">
      <w:pPr>
        <w:tabs>
          <w:tab w:val="left" w:pos="942"/>
          <w:tab w:val="left" w:pos="2356"/>
        </w:tabs>
        <w:spacing w:before="156" w:beforeLines="50" w:after="156" w:afterLines="50" w:line="360" w:lineRule="auto"/>
        <w:ind w:left="942"/>
        <w:rPr>
          <w:rFonts w:eastAsia="楷体_GB2312"/>
          <w:b/>
          <w:bCs/>
          <w:i/>
          <w:iCs/>
          <w:color w:val="FF0000"/>
          <w:kern w:val="0"/>
          <w:sz w:val="24"/>
        </w:rPr>
      </w:pPr>
      <w:bookmarkStart w:id="50" w:name="_Hlk220166272"/>
      <w:r>
        <w:rPr>
          <w:rFonts w:eastAsia="楷体_GB2312"/>
          <w:b/>
          <w:bCs/>
          <w:i/>
          <w:iCs/>
          <w:color w:val="FF0000"/>
          <w:kern w:val="0"/>
          <w:sz w:val="24"/>
        </w:rPr>
        <w:t>【注：期间利息无法兑付与违约事件的勾稽关系，可视项目具体情况予以调整或做特别约定。】</w:t>
      </w:r>
    </w:p>
    <w:bookmarkEnd w:id="50"/>
    <w:p w14:paraId="0FD85585">
      <w:pPr>
        <w:numPr>
          <w:ilvl w:val="0"/>
          <w:numId w:val="17"/>
        </w:numPr>
        <w:tabs>
          <w:tab w:val="left" w:pos="2356"/>
        </w:tabs>
        <w:spacing w:before="156" w:beforeLines="50" w:after="156" w:afterLines="50" w:line="360" w:lineRule="auto"/>
        <w:rPr>
          <w:rFonts w:eastAsia="楷体_GB2312"/>
          <w:kern w:val="0"/>
          <w:sz w:val="24"/>
        </w:rPr>
      </w:pPr>
      <w:r>
        <w:rPr>
          <w:rFonts w:eastAsia="楷体_GB2312"/>
          <w:kern w:val="0"/>
          <w:sz w:val="24"/>
        </w:rPr>
        <w:t>“受托人”未能在“法定到期日”后【】个</w:t>
      </w:r>
      <w:r>
        <w:rPr>
          <w:rFonts w:eastAsia="楷体_GB2312"/>
          <w:bCs/>
          <w:sz w:val="24"/>
        </w:rPr>
        <w:t>“工作日”</w:t>
      </w:r>
      <w:r>
        <w:rPr>
          <w:rFonts w:eastAsia="楷体_GB2312"/>
          <w:kern w:val="0"/>
          <w:sz w:val="24"/>
        </w:rPr>
        <w:t>内（或在“资产支持证券持有人大会”允许的宽限期内）足额支付当时应偿付但尚未清偿的“资产支持证券”本金的。</w:t>
      </w:r>
    </w:p>
    <w:p w14:paraId="795580EA">
      <w:pPr>
        <w:numPr>
          <w:ilvl w:val="0"/>
          <w:numId w:val="17"/>
        </w:numPr>
        <w:tabs>
          <w:tab w:val="left" w:pos="2356"/>
        </w:tabs>
        <w:spacing w:before="156" w:beforeLines="50" w:after="156" w:afterLines="50" w:line="360" w:lineRule="auto"/>
        <w:rPr>
          <w:rFonts w:eastAsia="楷体_GB2312"/>
          <w:kern w:val="0"/>
          <w:sz w:val="24"/>
        </w:rPr>
      </w:pPr>
      <w:r>
        <w:rPr>
          <w:rFonts w:eastAsia="楷体_GB2312"/>
          <w:kern w:val="0"/>
          <w:sz w:val="24"/>
        </w:rPr>
        <w:t>“《信托合同》</w:t>
      </w:r>
      <w:r>
        <w:rPr>
          <w:rFonts w:eastAsia="楷体_GB2312"/>
          <w:bCs/>
          <w:sz w:val="24"/>
        </w:rPr>
        <w:t>”、“《服务合同》”、“《资金保管合同》</w:t>
      </w:r>
      <w:r>
        <w:rPr>
          <w:rFonts w:eastAsia="楷体_GB2312"/>
          <w:sz w:val="24"/>
        </w:rPr>
        <w:t>”</w:t>
      </w:r>
      <w:r>
        <w:rPr>
          <w:rFonts w:eastAsia="楷体_GB2312"/>
          <w:kern w:val="0"/>
          <w:sz w:val="24"/>
        </w:rPr>
        <w:t>的相关方（包括但不限于“委托人”、“受托人”、“贷款服务机构”、“资金保管机构”）的主要相关义务未能履行或实现，导致对“资产支持证券持有人”权益产生“重大不利影响”，该“重大不利影响”情形在出现后【】日内未能得到补正或改善</w:t>
      </w:r>
      <w:r>
        <w:rPr>
          <w:rFonts w:eastAsia="楷体_GB2312"/>
          <w:bCs/>
          <w:sz w:val="24"/>
        </w:rPr>
        <w:t>，且“资产支持证券持有人大会”做出决议宣布构成“违约事件”。</w:t>
      </w:r>
    </w:p>
    <w:p w14:paraId="603F9AA6">
      <w:pPr>
        <w:tabs>
          <w:tab w:val="left" w:pos="942"/>
          <w:tab w:val="left" w:pos="2356"/>
        </w:tabs>
        <w:spacing w:before="156" w:beforeLines="50" w:after="156" w:afterLines="50" w:line="360" w:lineRule="auto"/>
        <w:ind w:left="942"/>
        <w:rPr>
          <w:rFonts w:eastAsia="楷体_GB2312"/>
          <w:b/>
          <w:i/>
          <w:iCs/>
          <w:color w:val="FF0000"/>
          <w:kern w:val="0"/>
          <w:sz w:val="24"/>
        </w:rPr>
      </w:pPr>
      <w:r>
        <w:rPr>
          <w:rFonts w:eastAsia="楷体_GB2312"/>
          <w:b/>
          <w:i/>
          <w:iCs/>
          <w:color w:val="FF0000"/>
          <w:sz w:val="24"/>
        </w:rPr>
        <w:t>【注：违约事件的具体触发情形可以视项目情况确定。】</w:t>
      </w:r>
    </w:p>
    <w:p w14:paraId="031CC613">
      <w:pPr>
        <w:numPr>
          <w:ilvl w:val="1"/>
          <w:numId w:val="5"/>
        </w:numPr>
        <w:tabs>
          <w:tab w:val="left" w:pos="851"/>
        </w:tabs>
        <w:spacing w:before="156" w:beforeLines="50" w:after="156" w:afterLines="50" w:line="360" w:lineRule="auto"/>
        <w:ind w:left="851" w:hanging="851"/>
        <w:rPr>
          <w:rFonts w:eastAsia="楷体_GB2312"/>
          <w:b/>
          <w:sz w:val="24"/>
        </w:rPr>
      </w:pPr>
      <w:r>
        <w:rPr>
          <w:rFonts w:eastAsia="楷体_GB2312"/>
          <w:b/>
          <w:sz w:val="24"/>
        </w:rPr>
        <w:t>受托人辞任事件：</w:t>
      </w:r>
      <w:r>
        <w:rPr>
          <w:rFonts w:eastAsia="楷体_GB2312"/>
          <w:kern w:val="0"/>
          <w:sz w:val="24"/>
        </w:rPr>
        <w:t>系指以下任一事件：</w:t>
      </w:r>
    </w:p>
    <w:p w14:paraId="01E76C5F">
      <w:pPr>
        <w:numPr>
          <w:ilvl w:val="0"/>
          <w:numId w:val="18"/>
        </w:numPr>
        <w:spacing w:before="156" w:beforeLines="50" w:after="156" w:afterLines="50" w:line="360" w:lineRule="auto"/>
        <w:rPr>
          <w:rFonts w:eastAsia="楷体_GB2312"/>
          <w:color w:val="000000"/>
          <w:kern w:val="0"/>
          <w:sz w:val="24"/>
        </w:rPr>
      </w:pPr>
      <w:r>
        <w:rPr>
          <w:rFonts w:eastAsia="楷体_GB2312"/>
          <w:color w:val="000000"/>
          <w:kern w:val="0"/>
          <w:sz w:val="24"/>
        </w:rPr>
        <w:t>“受托人”与“委托人”、“资产支持证券持有人大会”协商一致同意“受托人”辞任的；</w:t>
      </w:r>
    </w:p>
    <w:p w14:paraId="26352519">
      <w:pPr>
        <w:numPr>
          <w:ilvl w:val="0"/>
          <w:numId w:val="18"/>
        </w:numPr>
        <w:tabs>
          <w:tab w:val="left" w:pos="2356"/>
        </w:tabs>
        <w:spacing w:before="156" w:beforeLines="50" w:after="156" w:afterLines="50" w:line="360" w:lineRule="auto"/>
        <w:rPr>
          <w:rFonts w:eastAsia="楷体_GB2312"/>
          <w:color w:val="000000"/>
          <w:kern w:val="0"/>
          <w:sz w:val="24"/>
        </w:rPr>
      </w:pPr>
      <w:r>
        <w:rPr>
          <w:rFonts w:eastAsia="楷体_GB2312"/>
          <w:color w:val="000000"/>
          <w:kern w:val="0"/>
          <w:sz w:val="24"/>
        </w:rPr>
        <w:t>“受托人”因届时</w:t>
      </w:r>
      <w:r>
        <w:rPr>
          <w:rFonts w:eastAsia="楷体_GB2312"/>
          <w:sz w:val="24"/>
        </w:rPr>
        <w:t>“中国法律”</w:t>
      </w:r>
      <w:r>
        <w:rPr>
          <w:rFonts w:eastAsia="楷体_GB2312"/>
          <w:color w:val="000000"/>
          <w:kern w:val="0"/>
          <w:sz w:val="24"/>
        </w:rPr>
        <w:t>的修改不能继续履行“《信托合同》”项下“受托人”责任的。</w:t>
      </w:r>
    </w:p>
    <w:p w14:paraId="5FDCFD7A">
      <w:pPr>
        <w:tabs>
          <w:tab w:val="left" w:pos="425"/>
          <w:tab w:val="left" w:pos="851"/>
          <w:tab w:val="left" w:pos="2763"/>
        </w:tabs>
        <w:spacing w:before="156" w:beforeLines="50" w:after="156" w:afterLines="50" w:line="360" w:lineRule="auto"/>
        <w:ind w:left="851"/>
        <w:rPr>
          <w:rFonts w:eastAsia="楷体_GB2312"/>
          <w:b/>
          <w:bCs/>
          <w:i/>
          <w:color w:val="FF0000"/>
          <w:sz w:val="24"/>
        </w:rPr>
      </w:pPr>
      <w:r>
        <w:rPr>
          <w:rFonts w:eastAsia="楷体_GB2312"/>
          <w:b/>
          <w:bCs/>
          <w:i/>
          <w:color w:val="FF0000"/>
          <w:sz w:val="24"/>
        </w:rPr>
        <w:t>【注：受托人辞任事件的内容可根据项目实际情况进行调整。】</w:t>
      </w:r>
    </w:p>
    <w:p w14:paraId="3BF51BDE">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受托人解任事件：</w:t>
      </w:r>
      <w:r>
        <w:rPr>
          <w:rFonts w:eastAsia="楷体_GB2312"/>
          <w:kern w:val="0"/>
          <w:sz w:val="24"/>
        </w:rPr>
        <w:t>系指以下任一事件：</w:t>
      </w:r>
    </w:p>
    <w:p w14:paraId="453AF8BA">
      <w:pPr>
        <w:numPr>
          <w:ilvl w:val="0"/>
          <w:numId w:val="19"/>
        </w:numPr>
        <w:spacing w:before="156" w:beforeLines="50" w:after="156" w:afterLines="50" w:line="360" w:lineRule="auto"/>
        <w:rPr>
          <w:rFonts w:eastAsia="楷体_GB2312"/>
          <w:color w:val="000000"/>
          <w:kern w:val="0"/>
          <w:sz w:val="24"/>
        </w:rPr>
      </w:pPr>
      <w:r>
        <w:rPr>
          <w:rFonts w:eastAsia="楷体_GB2312"/>
          <w:sz w:val="24"/>
        </w:rPr>
        <w:t>“受</w:t>
      </w:r>
      <w:r>
        <w:rPr>
          <w:rFonts w:eastAsia="楷体_GB2312"/>
          <w:color w:val="000000"/>
          <w:kern w:val="0"/>
          <w:sz w:val="24"/>
        </w:rPr>
        <w:t>托人”违反“信托”目的处分“信托财产”或者管理、处分“信托财产”有重大过失的，违背其在“《信托合同》”项下的职责，“资产支持证券持有人大会”决定解任“受托人”的；</w:t>
      </w:r>
    </w:p>
    <w:p w14:paraId="0264D2B0">
      <w:pPr>
        <w:numPr>
          <w:ilvl w:val="0"/>
          <w:numId w:val="19"/>
        </w:numPr>
        <w:spacing w:before="156" w:beforeLines="50" w:after="156" w:afterLines="50" w:line="360" w:lineRule="auto"/>
        <w:rPr>
          <w:rFonts w:eastAsia="楷体_GB2312"/>
          <w:b/>
          <w:sz w:val="24"/>
        </w:rPr>
      </w:pPr>
      <w:r>
        <w:rPr>
          <w:rFonts w:eastAsia="楷体_GB2312"/>
          <w:color w:val="000000"/>
          <w:kern w:val="0"/>
          <w:sz w:val="24"/>
        </w:rPr>
        <w:t>“受托人”未能根据“《信托合同》”或其他“交易文件”约定的要求进行付款、转账或存款并由此导致“资产支持证券持有人”的本息兑付不能按约定获得分配的，除非上述违约行为是由于与“受托人”无关的其他“交易文件”签署方或第三方的欺诈、违约、故意不当行为或疏忽所致或由于不可抗力、“受托人”不能控制的技术故障、计算机故障或电汇支付系统故障等所致或经“资产支持证券持有人大会”豁免解任的；</w:t>
      </w:r>
    </w:p>
    <w:p w14:paraId="70F3589D">
      <w:pPr>
        <w:numPr>
          <w:ilvl w:val="0"/>
          <w:numId w:val="19"/>
        </w:numPr>
        <w:spacing w:before="156" w:beforeLines="50" w:after="156" w:afterLines="50" w:line="360" w:lineRule="auto"/>
        <w:rPr>
          <w:rFonts w:eastAsia="楷体_GB2312"/>
          <w:b/>
          <w:sz w:val="24"/>
        </w:rPr>
      </w:pPr>
      <w:r>
        <w:rPr>
          <w:rFonts w:eastAsia="楷体_GB2312"/>
          <w:color w:val="000000"/>
          <w:kern w:val="0"/>
          <w:sz w:val="24"/>
        </w:rPr>
        <w:t>在“信托期限”内，如果出现“受托人”实质性地违反其在“《信托合同》”中所作出的陈述、保证和承诺，“资产支持证券持有人大会”决定解任“受托</w:t>
      </w:r>
      <w:r>
        <w:rPr>
          <w:rFonts w:eastAsia="楷体_GB2312"/>
          <w:sz w:val="24"/>
        </w:rPr>
        <w:t>人”的；</w:t>
      </w:r>
    </w:p>
    <w:p w14:paraId="429B8576">
      <w:pPr>
        <w:numPr>
          <w:ilvl w:val="0"/>
          <w:numId w:val="19"/>
        </w:numPr>
        <w:spacing w:before="156" w:beforeLines="50" w:after="156" w:afterLines="50" w:line="360" w:lineRule="auto"/>
        <w:rPr>
          <w:rFonts w:eastAsia="楷体_GB2312"/>
          <w:sz w:val="24"/>
        </w:rPr>
      </w:pPr>
      <w:r>
        <w:rPr>
          <w:rFonts w:eastAsia="楷体_GB2312"/>
          <w:color w:val="000000"/>
          <w:kern w:val="0"/>
          <w:sz w:val="24"/>
        </w:rPr>
        <w:t>“受托人”不再具备“金融监管总局”</w:t>
      </w:r>
      <w:r>
        <w:rPr>
          <w:rFonts w:eastAsia="楷体_GB2312"/>
          <w:color w:val="000000"/>
          <w:sz w:val="24"/>
        </w:rPr>
        <w:t>批准的特定目的信托受托机构资格的；</w:t>
      </w:r>
    </w:p>
    <w:p w14:paraId="635BC52D">
      <w:pPr>
        <w:numPr>
          <w:ilvl w:val="0"/>
          <w:numId w:val="19"/>
        </w:numPr>
        <w:spacing w:before="156" w:beforeLines="50" w:after="156" w:afterLines="50" w:line="360" w:lineRule="auto"/>
        <w:rPr>
          <w:rFonts w:eastAsia="楷体_GB2312"/>
          <w:b/>
          <w:sz w:val="24"/>
        </w:rPr>
      </w:pPr>
      <w:r>
        <w:rPr>
          <w:rFonts w:eastAsia="楷体_GB2312"/>
          <w:color w:val="000000"/>
          <w:kern w:val="0"/>
          <w:sz w:val="24"/>
        </w:rPr>
        <w:t>“受托人”发生任何“丧失清偿能力事件”；</w:t>
      </w:r>
    </w:p>
    <w:p w14:paraId="52A829DC">
      <w:pPr>
        <w:numPr>
          <w:ilvl w:val="0"/>
          <w:numId w:val="19"/>
        </w:numPr>
        <w:spacing w:before="156" w:beforeLines="50" w:after="156" w:afterLines="50" w:line="360" w:lineRule="auto"/>
        <w:rPr>
          <w:rFonts w:eastAsia="楷体_GB2312"/>
          <w:color w:val="000000"/>
          <w:kern w:val="0"/>
          <w:sz w:val="24"/>
        </w:rPr>
      </w:pPr>
      <w:r>
        <w:rPr>
          <w:rFonts w:eastAsia="楷体_GB2312"/>
          <w:color w:val="000000"/>
          <w:kern w:val="0"/>
          <w:sz w:val="24"/>
        </w:rPr>
        <w:t>“受托人”因欺诈、违约、故意不当行为或疏忽被“资产支持证券持有人大会”解任。</w:t>
      </w:r>
    </w:p>
    <w:p w14:paraId="185AC6F3">
      <w:pPr>
        <w:tabs>
          <w:tab w:val="left" w:pos="425"/>
          <w:tab w:val="left" w:pos="851"/>
          <w:tab w:val="left" w:pos="2763"/>
        </w:tabs>
        <w:spacing w:before="156" w:beforeLines="50" w:after="156" w:afterLines="50" w:line="360" w:lineRule="auto"/>
        <w:ind w:left="851"/>
        <w:rPr>
          <w:rFonts w:eastAsia="楷体_GB2312"/>
          <w:b/>
          <w:bCs/>
          <w:i/>
          <w:color w:val="FF0000"/>
          <w:sz w:val="24"/>
        </w:rPr>
      </w:pPr>
      <w:r>
        <w:rPr>
          <w:rFonts w:eastAsia="楷体_GB2312"/>
          <w:b/>
          <w:bCs/>
          <w:i/>
          <w:color w:val="FF0000"/>
          <w:sz w:val="24"/>
        </w:rPr>
        <w:t>【注：</w:t>
      </w:r>
      <w:r>
        <w:rPr>
          <w:rFonts w:hint="eastAsia" w:eastAsia="楷体_GB2312"/>
          <w:b/>
          <w:bCs/>
          <w:i/>
          <w:iCs/>
          <w:color w:val="FF0000"/>
          <w:kern w:val="0"/>
          <w:sz w:val="24"/>
        </w:rPr>
        <w:t>（1）</w:t>
      </w:r>
      <w:r>
        <w:rPr>
          <w:rFonts w:eastAsia="楷体_GB2312"/>
          <w:b/>
          <w:bCs/>
          <w:i/>
          <w:color w:val="FF0000"/>
          <w:sz w:val="24"/>
        </w:rPr>
        <w:t>受托人解任事件的内容可根据项目实际情况进行调整。</w:t>
      </w:r>
      <w:r>
        <w:rPr>
          <w:rFonts w:hint="eastAsia" w:eastAsia="楷体_GB2312"/>
          <w:b/>
          <w:bCs/>
          <w:i/>
          <w:color w:val="FF0000"/>
          <w:sz w:val="24"/>
        </w:rPr>
        <w:t>（2）</w:t>
      </w:r>
      <w:r>
        <w:rPr>
          <w:rFonts w:hint="eastAsia" w:eastAsia="楷体_GB2312"/>
          <w:b/>
          <w:bCs/>
          <w:i/>
          <w:iCs/>
          <w:color w:val="FF0000"/>
          <w:kern w:val="0"/>
          <w:sz w:val="24"/>
        </w:rPr>
        <w:t>如果受托人发生任一丧失清偿能力事件导致受托机构终止的，则应认定为受托机构终止事件。</w:t>
      </w:r>
      <w:r>
        <w:rPr>
          <w:rFonts w:eastAsia="楷体_GB2312"/>
          <w:b/>
          <w:bCs/>
          <w:i/>
          <w:color w:val="FF0000"/>
          <w:sz w:val="24"/>
        </w:rPr>
        <w:t>】</w:t>
      </w:r>
    </w:p>
    <w:p w14:paraId="6D8F0C93">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贷款服务机构解任事件：</w:t>
      </w:r>
      <w:r>
        <w:rPr>
          <w:rFonts w:eastAsia="楷体_GB2312"/>
          <w:kern w:val="0"/>
          <w:sz w:val="24"/>
        </w:rPr>
        <w:t>系指以下任一事件：</w:t>
      </w:r>
    </w:p>
    <w:p w14:paraId="23E25B5D">
      <w:pPr>
        <w:numPr>
          <w:ilvl w:val="0"/>
          <w:numId w:val="20"/>
        </w:numPr>
        <w:spacing w:before="156" w:beforeLines="50" w:after="156" w:afterLines="50" w:line="360" w:lineRule="auto"/>
        <w:ind w:left="777" w:leftChars="370"/>
        <w:rPr>
          <w:rFonts w:eastAsia="楷体_GB2312"/>
          <w:kern w:val="0"/>
          <w:sz w:val="24"/>
        </w:rPr>
      </w:pPr>
      <w:r>
        <w:rPr>
          <w:rFonts w:eastAsia="楷体_GB2312"/>
          <w:kern w:val="0"/>
          <w:sz w:val="24"/>
        </w:rPr>
        <w:t>“贷款服务机构”未能于“回收款转付日”根据“《服务合同》”按时付款（除非由于“贷款服务机构”不能控制的技术故障、计算机故障或电汇支付系统故障导致未能及时付款，而使该付款到期日顺延），且在“回收款转付日”（如发生顺延，系指顺延后的“回收款转付日”）后【】个</w:t>
      </w:r>
      <w:r>
        <w:rPr>
          <w:rFonts w:eastAsia="楷体_GB2312"/>
          <w:bCs/>
          <w:sz w:val="24"/>
        </w:rPr>
        <w:t>“工作日”</w:t>
      </w:r>
      <w:r>
        <w:rPr>
          <w:rFonts w:eastAsia="楷体_GB2312"/>
          <w:kern w:val="0"/>
          <w:sz w:val="24"/>
        </w:rPr>
        <w:t>内仍未付款；</w:t>
      </w:r>
    </w:p>
    <w:p w14:paraId="3DD7D148">
      <w:pPr>
        <w:numPr>
          <w:ilvl w:val="0"/>
          <w:numId w:val="20"/>
        </w:numPr>
        <w:spacing w:before="156" w:beforeLines="50" w:after="156" w:afterLines="50" w:line="360" w:lineRule="auto"/>
        <w:ind w:left="777" w:leftChars="370"/>
        <w:rPr>
          <w:rFonts w:eastAsia="楷体_GB2312"/>
          <w:kern w:val="0"/>
          <w:sz w:val="24"/>
        </w:rPr>
      </w:pPr>
      <w:r>
        <w:rPr>
          <w:rFonts w:eastAsia="楷体_GB2312"/>
          <w:color w:val="000000"/>
          <w:kern w:val="0"/>
          <w:sz w:val="24"/>
        </w:rPr>
        <w:t>“贷款服务机构”</w:t>
      </w:r>
      <w:r>
        <w:rPr>
          <w:rFonts w:eastAsia="楷体_GB2312"/>
          <w:kern w:val="0"/>
          <w:sz w:val="24"/>
        </w:rPr>
        <w:t>停止经营或计划停止经营其全部或主要的贷款业务；</w:t>
      </w:r>
    </w:p>
    <w:p w14:paraId="1B849079">
      <w:pPr>
        <w:numPr>
          <w:ilvl w:val="0"/>
          <w:numId w:val="20"/>
        </w:numPr>
        <w:spacing w:before="156" w:beforeLines="50" w:after="156" w:afterLines="50" w:line="360" w:lineRule="auto"/>
        <w:ind w:left="777" w:leftChars="370"/>
        <w:rPr>
          <w:rFonts w:eastAsia="楷体_GB2312"/>
          <w:kern w:val="0"/>
          <w:sz w:val="24"/>
        </w:rPr>
      </w:pPr>
      <w:bookmarkStart w:id="51" w:name="_Ref122946904"/>
      <w:r>
        <w:rPr>
          <w:rFonts w:eastAsia="楷体_GB2312"/>
          <w:kern w:val="0"/>
          <w:sz w:val="24"/>
        </w:rPr>
        <w:t>发生与</w:t>
      </w:r>
      <w:r>
        <w:rPr>
          <w:rFonts w:eastAsia="楷体_GB2312"/>
          <w:color w:val="000000"/>
          <w:kern w:val="0"/>
          <w:sz w:val="24"/>
        </w:rPr>
        <w:t>“贷款服务机构”</w:t>
      </w:r>
      <w:r>
        <w:rPr>
          <w:rFonts w:eastAsia="楷体_GB2312"/>
          <w:kern w:val="0"/>
          <w:sz w:val="24"/>
        </w:rPr>
        <w:t>有关的“丧失清偿能力事件”；</w:t>
      </w:r>
      <w:bookmarkEnd w:id="51"/>
    </w:p>
    <w:p w14:paraId="47A73937">
      <w:pPr>
        <w:numPr>
          <w:ilvl w:val="0"/>
          <w:numId w:val="20"/>
        </w:numPr>
        <w:spacing w:before="156" w:beforeLines="50" w:after="156" w:afterLines="50" w:line="360" w:lineRule="auto"/>
        <w:ind w:left="777" w:leftChars="370"/>
        <w:rPr>
          <w:rFonts w:eastAsia="楷体_GB2312"/>
          <w:kern w:val="0"/>
          <w:sz w:val="24"/>
        </w:rPr>
      </w:pPr>
      <w:r>
        <w:rPr>
          <w:rFonts w:eastAsia="楷体_GB2312"/>
          <w:kern w:val="0"/>
          <w:sz w:val="24"/>
        </w:rPr>
        <w:t>“贷款服务机构”未能保持履行“《服务合同》”项下实质性义务所需的资格、许可、批准、授权和/或同意，或上述资格、许可、批准、授权和/或同意被中止、收回或撤销；</w:t>
      </w:r>
    </w:p>
    <w:p w14:paraId="754AC2DA">
      <w:pPr>
        <w:numPr>
          <w:ilvl w:val="0"/>
          <w:numId w:val="20"/>
        </w:numPr>
        <w:spacing w:before="156" w:beforeLines="50" w:after="156" w:afterLines="50" w:line="360" w:lineRule="auto"/>
        <w:ind w:left="777" w:leftChars="370"/>
        <w:rPr>
          <w:rFonts w:eastAsia="楷体_GB2312"/>
          <w:kern w:val="0"/>
          <w:sz w:val="24"/>
        </w:rPr>
      </w:pPr>
      <w:r>
        <w:rPr>
          <w:rFonts w:eastAsia="楷体_GB2312"/>
          <w:kern w:val="0"/>
          <w:sz w:val="24"/>
        </w:rPr>
        <w:t>“贷款服务机构”未能于“服务机构报告日”当日或之前交付相关“收款期间”的“贷款服务机构报告”（除非由于“贷款服务机构”不能控制的技术故障、</w:t>
      </w:r>
      <w:r>
        <w:rPr>
          <w:rFonts w:eastAsia="楷体_GB2312"/>
          <w:color w:val="000000"/>
          <w:kern w:val="0"/>
          <w:sz w:val="24"/>
        </w:rPr>
        <w:t>计算机</w:t>
      </w:r>
      <w:r>
        <w:rPr>
          <w:rFonts w:eastAsia="楷体_GB2312"/>
          <w:kern w:val="0"/>
          <w:sz w:val="24"/>
        </w:rPr>
        <w:t>故障或电汇支付系统故障导致未能及时提供，而使“贷款服务机构”提供“贷款服务机构报告”的日期延后），且在“服务机构报告日”（如发生顺延，系指顺延后的“服务机构报告日”）后【】个“工作日”内仍未提交；</w:t>
      </w:r>
    </w:p>
    <w:p w14:paraId="50221729">
      <w:pPr>
        <w:numPr>
          <w:ilvl w:val="0"/>
          <w:numId w:val="20"/>
        </w:numPr>
        <w:spacing w:before="156" w:beforeLines="50" w:after="156" w:afterLines="50" w:line="360" w:lineRule="auto"/>
        <w:ind w:left="777" w:leftChars="370"/>
        <w:rPr>
          <w:rFonts w:eastAsia="楷体_GB2312"/>
          <w:kern w:val="0"/>
          <w:sz w:val="24"/>
        </w:rPr>
      </w:pPr>
      <w:r>
        <w:rPr>
          <w:rFonts w:eastAsia="楷体_GB2312"/>
          <w:kern w:val="0"/>
          <w:sz w:val="24"/>
        </w:rPr>
        <w:t>“贷款服务机构”严重违反：</w:t>
      </w:r>
      <w:r>
        <w:rPr>
          <w:rFonts w:eastAsia="楷体_GB2312"/>
          <w:sz w:val="24"/>
        </w:rPr>
        <w:t>(i)</w:t>
      </w:r>
      <w:r>
        <w:rPr>
          <w:rFonts w:eastAsia="楷体_GB2312"/>
          <w:kern w:val="0"/>
          <w:sz w:val="24"/>
        </w:rPr>
        <w:t>除付款义务和提供报告义务以外的其他义务；(</w:t>
      </w:r>
      <w:r>
        <w:rPr>
          <w:rFonts w:eastAsia="楷体_GB2312"/>
          <w:sz w:val="24"/>
        </w:rPr>
        <w:t>ii)</w:t>
      </w:r>
      <w:r>
        <w:rPr>
          <w:rFonts w:eastAsia="楷体_GB2312"/>
          <w:kern w:val="0"/>
          <w:sz w:val="24"/>
        </w:rPr>
        <w:t>“贷款服务机构”在“交易文件”中所做的任何陈述和保证，且在“贷款服务机构”实际得知（不管是否收到“受托人”的通知）该等违约行为后，该行为仍持续超过【】个“工作日”，以致对“信托财产”的回收产生“重大不利影响”；</w:t>
      </w:r>
    </w:p>
    <w:p w14:paraId="46DF6460">
      <w:pPr>
        <w:numPr>
          <w:ilvl w:val="0"/>
          <w:numId w:val="20"/>
        </w:numPr>
        <w:spacing w:before="156" w:beforeLines="50" w:after="156" w:afterLines="50" w:line="360" w:lineRule="auto"/>
        <w:ind w:left="777" w:leftChars="370"/>
        <w:rPr>
          <w:rFonts w:eastAsia="楷体_GB2312"/>
          <w:kern w:val="0"/>
          <w:sz w:val="24"/>
        </w:rPr>
      </w:pPr>
      <w:r>
        <w:rPr>
          <w:rFonts w:eastAsia="楷体_GB2312"/>
          <w:kern w:val="0"/>
          <w:sz w:val="24"/>
        </w:rPr>
        <w:t>“资产支持证券持有人大会”合理认为已经发生与“贷款服务机构”有关的“重大不利变化”；</w:t>
      </w:r>
    </w:p>
    <w:p w14:paraId="031A809C">
      <w:pPr>
        <w:numPr>
          <w:ilvl w:val="0"/>
          <w:numId w:val="20"/>
        </w:numPr>
        <w:spacing w:before="156" w:beforeLines="50" w:after="156" w:afterLines="50" w:line="360" w:lineRule="auto"/>
        <w:ind w:left="777" w:leftChars="370"/>
        <w:rPr>
          <w:rFonts w:eastAsia="楷体_GB2312"/>
          <w:kern w:val="0"/>
          <w:sz w:val="24"/>
        </w:rPr>
      </w:pPr>
      <w:r>
        <w:rPr>
          <w:rFonts w:eastAsia="楷体_GB2312"/>
          <w:kern w:val="0"/>
          <w:sz w:val="24"/>
        </w:rPr>
        <w:t>仅在“【发起机构简称】”为“贷款服务机构”时，“贷款服务机构”未能落实“《服务合同》”的约定，在“信托生效日”后【】日内，未能按照“受托人”的要求，对“</w:t>
      </w:r>
      <w:r>
        <w:rPr>
          <w:rFonts w:eastAsia="楷体_GB2312"/>
          <w:color w:val="000000"/>
          <w:kern w:val="0"/>
          <w:sz w:val="24"/>
        </w:rPr>
        <w:t>《服务合同》</w:t>
      </w:r>
      <w:r>
        <w:rPr>
          <w:rFonts w:eastAsia="楷体_GB2312"/>
          <w:kern w:val="0"/>
          <w:sz w:val="24"/>
        </w:rPr>
        <w:t>”指明的所有“账户记录”原件以及与上述“账户记录”相关的所有文件按“《服务合同》”的约定进行保管；</w:t>
      </w:r>
    </w:p>
    <w:p w14:paraId="2AC489F6">
      <w:pPr>
        <w:numPr>
          <w:ilvl w:val="0"/>
          <w:numId w:val="20"/>
        </w:numPr>
        <w:spacing w:before="156" w:beforeLines="50" w:after="156" w:afterLines="50" w:line="360" w:lineRule="auto"/>
        <w:ind w:left="777" w:leftChars="370"/>
        <w:rPr>
          <w:rFonts w:eastAsia="楷体_GB2312"/>
          <w:kern w:val="0"/>
          <w:sz w:val="24"/>
        </w:rPr>
      </w:pPr>
      <w:r>
        <w:rPr>
          <w:rFonts w:eastAsia="楷体_GB2312"/>
          <w:kern w:val="0"/>
          <w:sz w:val="24"/>
        </w:rPr>
        <w:t>在将“对</w:t>
      </w:r>
      <w:r>
        <w:rPr>
          <w:rFonts w:eastAsia="楷体_GB2312"/>
          <w:color w:val="000000"/>
          <w:kern w:val="0"/>
          <w:sz w:val="24"/>
        </w:rPr>
        <w:t>贷款</w:t>
      </w:r>
      <w:r>
        <w:rPr>
          <w:rFonts w:eastAsia="楷体_GB2312"/>
          <w:kern w:val="0"/>
          <w:sz w:val="24"/>
        </w:rPr>
        <w:t>服务机构报告执行商定程序的报告”的审阅结果书面通知“贷款服务机构”后的【】日内，“受托人”合理地认为：</w:t>
      </w:r>
    </w:p>
    <w:p w14:paraId="50ED5911">
      <w:pPr>
        <w:autoSpaceDE w:val="0"/>
        <w:autoSpaceDN w:val="0"/>
        <w:adjustRightInd w:val="0"/>
        <w:spacing w:before="156" w:beforeLines="50" w:after="156" w:afterLines="50" w:line="360" w:lineRule="auto"/>
        <w:ind w:left="1513" w:leftChars="549" w:hanging="360" w:hangingChars="150"/>
        <w:rPr>
          <w:rFonts w:eastAsia="楷体_GB2312"/>
          <w:kern w:val="0"/>
          <w:sz w:val="24"/>
        </w:rPr>
      </w:pPr>
      <w:r>
        <w:rPr>
          <w:rFonts w:eastAsia="楷体_GB2312"/>
          <w:sz w:val="24"/>
        </w:rPr>
        <w:t>(i)</w:t>
      </w:r>
      <w:r>
        <w:rPr>
          <w:rFonts w:eastAsia="楷体_GB2312"/>
          <w:kern w:val="0"/>
          <w:sz w:val="24"/>
        </w:rPr>
        <w:t>“贷款服务机构”已经实质性违反其在任何“交易文件”中所做的陈述或保证；或</w:t>
      </w:r>
    </w:p>
    <w:p w14:paraId="3C7EC295">
      <w:pPr>
        <w:autoSpaceDE w:val="0"/>
        <w:autoSpaceDN w:val="0"/>
        <w:adjustRightInd w:val="0"/>
        <w:spacing w:before="156" w:beforeLines="50" w:after="156" w:afterLines="50" w:line="360" w:lineRule="auto"/>
        <w:ind w:left="1513" w:leftChars="549" w:hanging="360" w:hangingChars="150"/>
        <w:rPr>
          <w:rFonts w:eastAsia="楷体_GB2312"/>
          <w:kern w:val="0"/>
          <w:sz w:val="24"/>
        </w:rPr>
      </w:pPr>
      <w:r>
        <w:rPr>
          <w:rFonts w:eastAsia="楷体_GB2312"/>
          <w:sz w:val="24"/>
        </w:rPr>
        <w:t>(ii)</w:t>
      </w:r>
      <w:r>
        <w:rPr>
          <w:rFonts w:eastAsia="楷体_GB2312"/>
          <w:kern w:val="0"/>
          <w:sz w:val="24"/>
        </w:rPr>
        <w:t>上述审阅结果不令人满意，</w:t>
      </w:r>
    </w:p>
    <w:p w14:paraId="65FBAD10">
      <w:pPr>
        <w:spacing w:before="156" w:beforeLines="50" w:after="156" w:afterLines="50" w:line="360" w:lineRule="auto"/>
        <w:ind w:left="1153" w:leftChars="549"/>
        <w:rPr>
          <w:rFonts w:eastAsia="楷体_GB2312"/>
          <w:kern w:val="0"/>
          <w:sz w:val="24"/>
        </w:rPr>
      </w:pPr>
      <w:r>
        <w:rPr>
          <w:rFonts w:eastAsia="楷体_GB2312"/>
          <w:kern w:val="0"/>
          <w:sz w:val="24"/>
        </w:rPr>
        <w:t>发生上述</w:t>
      </w:r>
      <w:r>
        <w:rPr>
          <w:rFonts w:eastAsia="楷体_GB2312"/>
          <w:sz w:val="24"/>
        </w:rPr>
        <w:t>(i)</w:t>
      </w:r>
      <w:r>
        <w:rPr>
          <w:rFonts w:eastAsia="楷体_GB2312"/>
          <w:kern w:val="0"/>
          <w:sz w:val="24"/>
        </w:rPr>
        <w:t>和</w:t>
      </w:r>
      <w:r>
        <w:rPr>
          <w:rFonts w:eastAsia="楷体_GB2312"/>
          <w:sz w:val="24"/>
        </w:rPr>
        <w:t>(ii)</w:t>
      </w:r>
      <w:r>
        <w:rPr>
          <w:rFonts w:eastAsia="楷体_GB2312"/>
          <w:kern w:val="0"/>
          <w:sz w:val="24"/>
        </w:rPr>
        <w:t>的任一种情况下，“受托人”应立即通知“贷款服务机构”，“贷款服务机构”在接到该通知后【】个工作日内应向“受托人”书面出具回复意见。如果“受托人”对“贷款服务机构”的书面回复意见仍不满意，则“受托人”将上述相关事项提交“资产支持证券持有人大会”决议，且“资产支持证券持有人大会”合理认为已经发生“重大不利影响”。</w:t>
      </w:r>
    </w:p>
    <w:p w14:paraId="032B1DFA">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资金保管机构解任事件：</w:t>
      </w:r>
      <w:r>
        <w:rPr>
          <w:rFonts w:eastAsia="楷体_GB2312"/>
          <w:sz w:val="24"/>
        </w:rPr>
        <w:t>系指以下任一事件：</w:t>
      </w:r>
    </w:p>
    <w:p w14:paraId="2829A729">
      <w:pPr>
        <w:numPr>
          <w:ilvl w:val="0"/>
          <w:numId w:val="21"/>
        </w:numPr>
        <w:spacing w:before="156" w:beforeLines="50" w:after="156" w:afterLines="50" w:line="360" w:lineRule="auto"/>
        <w:rPr>
          <w:rFonts w:eastAsia="楷体_GB2312"/>
          <w:sz w:val="24"/>
        </w:rPr>
      </w:pPr>
      <w:r>
        <w:rPr>
          <w:rFonts w:eastAsia="楷体_GB2312"/>
          <w:kern w:val="0"/>
          <w:sz w:val="24"/>
        </w:rPr>
        <w:t>“资金保管机构”丧失担任信贷资产证券化交易中资金保管机构的主体资格</w:t>
      </w:r>
      <w:r>
        <w:rPr>
          <w:rFonts w:eastAsia="楷体_GB2312"/>
          <w:sz w:val="24"/>
        </w:rPr>
        <w:t>；</w:t>
      </w:r>
    </w:p>
    <w:p w14:paraId="60FE913C">
      <w:pPr>
        <w:numPr>
          <w:ilvl w:val="0"/>
          <w:numId w:val="21"/>
        </w:numPr>
        <w:spacing w:before="156" w:beforeLines="50" w:after="156" w:afterLines="50" w:line="360" w:lineRule="auto"/>
        <w:rPr>
          <w:rFonts w:eastAsia="楷体_GB2312"/>
          <w:sz w:val="24"/>
        </w:rPr>
      </w:pPr>
      <w:r>
        <w:rPr>
          <w:rFonts w:eastAsia="楷体_GB2312"/>
          <w:sz w:val="24"/>
        </w:rPr>
        <w:t>除“</w:t>
      </w:r>
      <w:r>
        <w:rPr>
          <w:rFonts w:eastAsia="楷体_GB2312"/>
          <w:kern w:val="0"/>
          <w:sz w:val="24"/>
        </w:rPr>
        <w:t>《资金保管合同》</w:t>
      </w:r>
      <w:r>
        <w:rPr>
          <w:rFonts w:eastAsia="楷体_GB2312"/>
          <w:sz w:val="24"/>
        </w:rPr>
        <w:t>”另有</w:t>
      </w:r>
      <w:r>
        <w:rPr>
          <w:rFonts w:eastAsia="楷体_GB2312"/>
          <w:bCs/>
          <w:sz w:val="24"/>
        </w:rPr>
        <w:t>约</w:t>
      </w:r>
      <w:r>
        <w:rPr>
          <w:rFonts w:eastAsia="楷体_GB2312"/>
          <w:sz w:val="24"/>
        </w:rPr>
        <w:t>定以外，“资金保管机构”没有根据“《资金保管合同》”的</w:t>
      </w:r>
      <w:r>
        <w:rPr>
          <w:rFonts w:eastAsia="楷体_GB2312"/>
          <w:bCs/>
          <w:sz w:val="24"/>
        </w:rPr>
        <w:t>约</w:t>
      </w:r>
      <w:r>
        <w:rPr>
          <w:rFonts w:eastAsia="楷体_GB2312"/>
          <w:sz w:val="24"/>
        </w:rPr>
        <w:t>定，按照“受托人”的指令拨付“信托账户”中的资金，且经“受托人”书面通知后【】个“工作日”内，仍未纠正的；</w:t>
      </w:r>
    </w:p>
    <w:p w14:paraId="21168443">
      <w:pPr>
        <w:numPr>
          <w:ilvl w:val="0"/>
          <w:numId w:val="21"/>
        </w:numPr>
        <w:spacing w:before="156" w:beforeLines="50" w:after="156" w:afterLines="50" w:line="360" w:lineRule="auto"/>
        <w:rPr>
          <w:rFonts w:eastAsia="楷体_GB2312"/>
          <w:sz w:val="24"/>
        </w:rPr>
      </w:pPr>
      <w:r>
        <w:rPr>
          <w:rFonts w:eastAsia="楷体_GB2312"/>
          <w:kern w:val="0"/>
          <w:sz w:val="24"/>
        </w:rPr>
        <w:t>“资金保管机构”</w:t>
      </w:r>
      <w:r>
        <w:rPr>
          <w:rFonts w:eastAsia="楷体_GB2312"/>
          <w:sz w:val="24"/>
        </w:rPr>
        <w:t>实质性地违反了其在“《资金保管合同》”项下除资金拨付之外的任何其他义务，且该等违约行为自发生之日起持续超过【】个“工作日”；</w:t>
      </w:r>
    </w:p>
    <w:p w14:paraId="77DCD388">
      <w:pPr>
        <w:numPr>
          <w:ilvl w:val="0"/>
          <w:numId w:val="21"/>
        </w:numPr>
        <w:spacing w:before="156" w:beforeLines="50" w:after="156" w:afterLines="50" w:line="360" w:lineRule="auto"/>
        <w:rPr>
          <w:rFonts w:eastAsia="楷体_GB2312"/>
          <w:sz w:val="24"/>
        </w:rPr>
      </w:pPr>
      <w:r>
        <w:rPr>
          <w:rFonts w:eastAsia="楷体_GB2312"/>
          <w:kern w:val="0"/>
          <w:sz w:val="24"/>
        </w:rPr>
        <w:t>“资金保管机构”</w:t>
      </w:r>
      <w:r>
        <w:rPr>
          <w:rFonts w:eastAsia="楷体_GB2312"/>
          <w:sz w:val="24"/>
        </w:rPr>
        <w:t>在“《资金保管合同》”或其提交的其他文件中所作的任何陈述、证明或保证，被证明在做出时在任何重要方面是虚假或错误的；</w:t>
      </w:r>
    </w:p>
    <w:p w14:paraId="6DABF666">
      <w:pPr>
        <w:numPr>
          <w:ilvl w:val="0"/>
          <w:numId w:val="21"/>
        </w:numPr>
        <w:spacing w:before="156" w:beforeLines="50" w:after="156" w:afterLines="50" w:line="360" w:lineRule="auto"/>
        <w:rPr>
          <w:rFonts w:eastAsia="楷体_GB2312"/>
          <w:sz w:val="24"/>
        </w:rPr>
      </w:pPr>
      <w:r>
        <w:rPr>
          <w:rFonts w:eastAsia="楷体_GB2312"/>
          <w:kern w:val="0"/>
          <w:sz w:val="24"/>
        </w:rPr>
        <w:t>任一“评级机构”对“资金保管机构”的</w:t>
      </w:r>
      <w:r>
        <w:rPr>
          <w:rFonts w:eastAsia="楷体_GB2312"/>
          <w:sz w:val="24"/>
        </w:rPr>
        <w:t>长期主体信用等级</w:t>
      </w:r>
      <w:r>
        <w:rPr>
          <w:rFonts w:eastAsia="楷体_GB2312"/>
          <w:kern w:val="0"/>
          <w:sz w:val="24"/>
        </w:rPr>
        <w:t>低于【】级；</w:t>
      </w:r>
    </w:p>
    <w:p w14:paraId="791899C4">
      <w:pPr>
        <w:numPr>
          <w:ilvl w:val="0"/>
          <w:numId w:val="21"/>
        </w:numPr>
        <w:spacing w:before="156" w:beforeLines="50" w:after="156" w:afterLines="50" w:line="360" w:lineRule="auto"/>
        <w:rPr>
          <w:rFonts w:eastAsia="楷体_GB2312"/>
          <w:b/>
          <w:sz w:val="24"/>
        </w:rPr>
      </w:pPr>
      <w:r>
        <w:rPr>
          <w:rFonts w:eastAsia="楷体_GB2312"/>
          <w:sz w:val="24"/>
        </w:rPr>
        <w:t>发生与“资金保管机构”有关的“丧失清偿能力事件”。</w:t>
      </w:r>
    </w:p>
    <w:p w14:paraId="3FCFF801">
      <w:pPr>
        <w:numPr>
          <w:ilvl w:val="1"/>
          <w:numId w:val="5"/>
        </w:numPr>
        <w:tabs>
          <w:tab w:val="left" w:pos="851"/>
          <w:tab w:val="clear" w:pos="720"/>
        </w:tabs>
        <w:spacing w:before="156" w:beforeLines="50" w:after="156" w:afterLines="50" w:line="360" w:lineRule="auto"/>
        <w:ind w:left="851" w:hanging="851"/>
        <w:rPr>
          <w:rFonts w:eastAsia="楷体_GB2312"/>
          <w:kern w:val="0"/>
          <w:sz w:val="24"/>
        </w:rPr>
      </w:pPr>
      <w:bookmarkStart w:id="52" w:name="_Hlk51965174"/>
      <w:r>
        <w:rPr>
          <w:rFonts w:eastAsia="楷体_GB2312"/>
          <w:b/>
          <w:color w:val="000000" w:themeColor="text1"/>
          <w:sz w:val="24"/>
          <w14:textFill>
            <w14:solidFill>
              <w14:schemeClr w14:val="tx1"/>
            </w14:solidFill>
          </w14:textFill>
        </w:rPr>
        <w:t>个别通知事件/</w:t>
      </w:r>
      <w:r>
        <w:rPr>
          <w:rFonts w:eastAsia="楷体_GB2312"/>
          <w:b/>
          <w:sz w:val="24"/>
        </w:rPr>
        <w:t>权利完善事件：</w:t>
      </w:r>
      <w:r>
        <w:rPr>
          <w:rFonts w:eastAsia="楷体_GB2312"/>
          <w:kern w:val="0"/>
          <w:sz w:val="24"/>
        </w:rPr>
        <w:t>系指以下任何事件：</w:t>
      </w:r>
    </w:p>
    <w:p w14:paraId="286A0552">
      <w:pPr>
        <w:numPr>
          <w:ilvl w:val="0"/>
          <w:numId w:val="22"/>
        </w:numPr>
        <w:spacing w:before="156" w:beforeLines="50" w:after="156" w:afterLines="50" w:line="360" w:lineRule="auto"/>
        <w:rPr>
          <w:rFonts w:eastAsia="楷体_GB2312"/>
          <w:sz w:val="24"/>
        </w:rPr>
      </w:pPr>
      <w:bookmarkStart w:id="53" w:name="_Ref51150746"/>
      <w:r>
        <w:rPr>
          <w:rFonts w:eastAsia="楷体_GB2312"/>
          <w:kern w:val="0"/>
          <w:sz w:val="24"/>
        </w:rPr>
        <w:t>发生任一“贷款服务机构解任事件”，导致“贷款服务机构”被解任</w:t>
      </w:r>
      <w:r>
        <w:rPr>
          <w:rFonts w:eastAsia="楷体_GB2312"/>
          <w:sz w:val="24"/>
        </w:rPr>
        <w:t>；</w:t>
      </w:r>
      <w:bookmarkEnd w:id="53"/>
    </w:p>
    <w:p w14:paraId="065AF528">
      <w:pPr>
        <w:numPr>
          <w:ilvl w:val="0"/>
          <w:numId w:val="22"/>
        </w:numPr>
        <w:spacing w:before="156" w:beforeLines="50" w:after="156" w:afterLines="50" w:line="360" w:lineRule="auto"/>
        <w:rPr>
          <w:rFonts w:eastAsia="楷体_GB2312"/>
          <w:sz w:val="24"/>
        </w:rPr>
      </w:pPr>
      <w:bookmarkStart w:id="54" w:name="_Ref51150753"/>
      <w:r>
        <w:rPr>
          <w:rFonts w:eastAsia="楷体_GB2312"/>
          <w:kern w:val="0"/>
          <w:sz w:val="24"/>
        </w:rPr>
        <w:t>“贷款服务机构”丧失任一“必备评级等级”</w:t>
      </w:r>
      <w:r>
        <w:rPr>
          <w:rFonts w:eastAsia="楷体_GB2312"/>
          <w:sz w:val="24"/>
        </w:rPr>
        <w:t>；</w:t>
      </w:r>
      <w:bookmarkEnd w:id="54"/>
    </w:p>
    <w:p w14:paraId="6A7BB541">
      <w:pPr>
        <w:numPr>
          <w:ilvl w:val="0"/>
          <w:numId w:val="22"/>
        </w:numPr>
        <w:spacing w:before="156" w:beforeLines="50" w:after="156" w:afterLines="50" w:line="360" w:lineRule="auto"/>
        <w:rPr>
          <w:rFonts w:eastAsia="楷体_GB2312"/>
          <w:sz w:val="24"/>
        </w:rPr>
      </w:pPr>
      <w:bookmarkStart w:id="55" w:name="_Ref152131008"/>
      <w:bookmarkStart w:id="56" w:name="_Ref122633121"/>
      <w:r>
        <w:rPr>
          <w:rFonts w:eastAsia="楷体_GB2312"/>
          <w:kern w:val="0"/>
          <w:sz w:val="24"/>
        </w:rPr>
        <w:t>“委托人”丧失任一“必备评级等级”；</w:t>
      </w:r>
    </w:p>
    <w:p w14:paraId="26E56185">
      <w:pPr>
        <w:numPr>
          <w:ilvl w:val="0"/>
          <w:numId w:val="22"/>
        </w:numPr>
        <w:spacing w:before="156" w:beforeLines="50" w:after="156" w:afterLines="50" w:line="360" w:lineRule="auto"/>
        <w:rPr>
          <w:rFonts w:eastAsia="楷体_GB2312"/>
          <w:sz w:val="24"/>
        </w:rPr>
      </w:pPr>
      <w:r>
        <w:rPr>
          <w:rFonts w:eastAsia="楷体_GB2312"/>
          <w:sz w:val="24"/>
        </w:rPr>
        <w:t>“委托人”发生任何一起“丧失清偿能力事件”</w:t>
      </w:r>
      <w:bookmarkEnd w:id="55"/>
      <w:bookmarkEnd w:id="56"/>
      <w:r>
        <w:rPr>
          <w:rFonts w:eastAsia="楷体_GB2312"/>
          <w:sz w:val="24"/>
        </w:rPr>
        <w:t>。</w:t>
      </w:r>
    </w:p>
    <w:p w14:paraId="48DAFC2A">
      <w:pPr>
        <w:pStyle w:val="54"/>
        <w:tabs>
          <w:tab w:val="left" w:pos="942"/>
        </w:tabs>
        <w:spacing w:before="156" w:beforeLines="50" w:after="156" w:afterLines="50" w:line="360" w:lineRule="auto"/>
        <w:ind w:left="942" w:firstLine="0" w:firstLineChars="0"/>
        <w:rPr>
          <w:rFonts w:eastAsia="楷体_GB2312"/>
          <w:b/>
          <w:bCs/>
          <w:i/>
          <w:iCs/>
          <w:color w:val="FF0000"/>
          <w:sz w:val="24"/>
        </w:rPr>
      </w:pPr>
      <w:r>
        <w:rPr>
          <w:rFonts w:eastAsia="楷体_GB2312"/>
          <w:b/>
          <w:bCs/>
          <w:i/>
          <w:iCs/>
          <w:color w:val="FF0000"/>
          <w:sz w:val="24"/>
        </w:rPr>
        <w:t>【注：</w:t>
      </w:r>
      <w:bookmarkStart w:id="57" w:name="_Hlk221450192"/>
      <w:r>
        <w:rPr>
          <w:rFonts w:eastAsia="楷体_GB2312"/>
          <w:b/>
          <w:bCs/>
          <w:i/>
          <w:iCs/>
          <w:color w:val="FF0000"/>
          <w:sz w:val="24"/>
        </w:rPr>
        <w:t>权利完善事件/个别通知事件市场主体采取的表述方式多样，</w:t>
      </w:r>
      <w:r>
        <w:rPr>
          <w:rFonts w:eastAsia="楷体_GB2312"/>
          <w:b/>
          <w:bCs/>
          <w:i/>
          <w:iCs/>
          <w:color w:val="FF0000"/>
          <w:kern w:val="0"/>
          <w:sz w:val="24"/>
        </w:rPr>
        <w:t>具体权利完善事件以及该等事件发生后的法律后果均可结合项目实际需要而予以调整，注意与届时的信托合同的相关约定相匹配即可</w:t>
      </w:r>
      <w:r>
        <w:rPr>
          <w:rFonts w:eastAsia="楷体_GB2312"/>
          <w:b/>
          <w:bCs/>
          <w:i/>
          <w:iCs/>
          <w:color w:val="FF0000"/>
          <w:sz w:val="24"/>
        </w:rPr>
        <w:t>。</w:t>
      </w:r>
      <w:bookmarkEnd w:id="57"/>
      <w:r>
        <w:rPr>
          <w:rFonts w:eastAsia="楷体_GB2312"/>
          <w:b/>
          <w:bCs/>
          <w:i/>
          <w:iCs/>
          <w:color w:val="FF0000"/>
          <w:kern w:val="0"/>
          <w:sz w:val="24"/>
        </w:rPr>
        <w:t xml:space="preserve"> </w:t>
      </w:r>
      <w:r>
        <w:rPr>
          <w:rFonts w:eastAsia="楷体_GB2312"/>
          <w:b/>
          <w:bCs/>
          <w:i/>
          <w:iCs/>
          <w:color w:val="FF0000"/>
          <w:sz w:val="24"/>
        </w:rPr>
        <w:t>其中，本套标准</w:t>
      </w:r>
      <w:r>
        <w:rPr>
          <w:rFonts w:hint="eastAsia" w:eastAsia="楷体_GB2312"/>
          <w:b/>
          <w:bCs/>
          <w:i/>
          <w:iCs/>
          <w:color w:val="FF0000"/>
          <w:sz w:val="24"/>
          <w:lang w:eastAsia="zh-CN"/>
        </w:rPr>
        <w:t>合同</w:t>
      </w:r>
      <w:r>
        <w:rPr>
          <w:rFonts w:eastAsia="楷体_GB2312"/>
          <w:b/>
          <w:bCs/>
          <w:i/>
          <w:iCs/>
          <w:color w:val="FF0000"/>
          <w:sz w:val="24"/>
        </w:rPr>
        <w:t>中，如“贷款服务机构”回收“信贷资产”</w:t>
      </w:r>
      <w:r>
        <w:rPr>
          <w:rFonts w:hint="eastAsia" w:eastAsia="楷体_GB2312"/>
          <w:b/>
          <w:bCs/>
          <w:i/>
          <w:iCs/>
          <w:color w:val="FF0000"/>
          <w:sz w:val="24"/>
        </w:rPr>
        <w:t>，</w:t>
      </w:r>
      <w:r>
        <w:rPr>
          <w:rFonts w:eastAsia="楷体_GB2312"/>
          <w:b/>
          <w:bCs/>
          <w:i/>
          <w:iCs/>
          <w:color w:val="FF0000"/>
          <w:sz w:val="24"/>
        </w:rPr>
        <w:t>且在主张相关权利时“贷款服务机构”的权利人地位受到质疑而无法实际行使相关权利或其他情形下，可依据《信托合同》</w:t>
      </w:r>
      <w:r>
        <w:rPr>
          <w:rFonts w:hint="eastAsia" w:eastAsia="楷体_GB2312"/>
          <w:b/>
          <w:bCs/>
          <w:i/>
          <w:iCs/>
          <w:color w:val="FF0000"/>
          <w:sz w:val="24"/>
        </w:rPr>
        <w:t>相关约定</w:t>
      </w:r>
      <w:r>
        <w:rPr>
          <w:rFonts w:eastAsia="楷体_GB2312"/>
          <w:b/>
          <w:bCs/>
          <w:i/>
          <w:iCs/>
          <w:color w:val="FF0000"/>
          <w:sz w:val="24"/>
        </w:rPr>
        <w:t>进行执行。】</w:t>
      </w:r>
    </w:p>
    <w:bookmarkEnd w:id="52"/>
    <w:p w14:paraId="1408B0BA">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丧失清偿能力事件：</w:t>
      </w:r>
      <w:r>
        <w:rPr>
          <w:rFonts w:eastAsia="楷体_GB2312"/>
          <w:kern w:val="0"/>
          <w:sz w:val="24"/>
        </w:rPr>
        <w:t>就</w:t>
      </w:r>
      <w:r>
        <w:rPr>
          <w:rFonts w:eastAsia="楷体_GB2312"/>
          <w:sz w:val="24"/>
        </w:rPr>
        <w:t>“委托人”</w:t>
      </w:r>
      <w:r>
        <w:rPr>
          <w:rFonts w:eastAsia="楷体_GB2312"/>
          <w:kern w:val="0"/>
          <w:sz w:val="24"/>
        </w:rPr>
        <w:t>、“受托人”、“贷款服务机构”、“后备贷款服务机构”及“资金保管机构”而言，系指以下任一事件：</w:t>
      </w:r>
    </w:p>
    <w:p w14:paraId="2C707E67">
      <w:pPr>
        <w:numPr>
          <w:ilvl w:val="0"/>
          <w:numId w:val="23"/>
        </w:numPr>
        <w:spacing w:before="156" w:beforeLines="50" w:after="156" w:afterLines="50" w:line="360" w:lineRule="auto"/>
        <w:rPr>
          <w:rFonts w:eastAsia="楷体_GB2312"/>
          <w:kern w:val="0"/>
          <w:sz w:val="24"/>
        </w:rPr>
      </w:pPr>
      <w:r>
        <w:rPr>
          <w:rFonts w:eastAsia="楷体_GB2312"/>
          <w:sz w:val="24"/>
        </w:rPr>
        <w:t>经</w:t>
      </w:r>
      <w:r>
        <w:rPr>
          <w:rFonts w:eastAsia="楷体_GB2312"/>
          <w:kern w:val="0"/>
          <w:sz w:val="24"/>
        </w:rPr>
        <w:t>国务院金融监督管理机构</w:t>
      </w:r>
      <w:r>
        <w:rPr>
          <w:rFonts w:eastAsia="楷体_GB2312"/>
          <w:sz w:val="24"/>
        </w:rPr>
        <w:t>同意，上述机构向人民法院提交破产申请，</w:t>
      </w:r>
      <w:r>
        <w:rPr>
          <w:rFonts w:eastAsia="楷体_GB2312"/>
          <w:kern w:val="0"/>
          <w:sz w:val="24"/>
        </w:rPr>
        <w:t>或国务院金融监督管理机构向人民法院提出对上述机构进行重整或破产清算的申请；</w:t>
      </w:r>
    </w:p>
    <w:p w14:paraId="72ADFD0C">
      <w:pPr>
        <w:numPr>
          <w:ilvl w:val="0"/>
          <w:numId w:val="23"/>
        </w:numPr>
        <w:spacing w:before="156" w:beforeLines="50" w:after="156" w:afterLines="50" w:line="360" w:lineRule="auto"/>
        <w:rPr>
          <w:rFonts w:eastAsia="楷体_GB2312"/>
          <w:kern w:val="0"/>
          <w:sz w:val="24"/>
        </w:rPr>
      </w:pPr>
      <w:r>
        <w:rPr>
          <w:rFonts w:eastAsia="楷体_GB2312"/>
          <w:kern w:val="0"/>
          <w:sz w:val="24"/>
        </w:rPr>
        <w:t>其债权人向人民法院申请宣布上述机构破产且该等申请未在120个“工作日”内被驳回或撤诉；</w:t>
      </w:r>
    </w:p>
    <w:p w14:paraId="17D1A814">
      <w:pPr>
        <w:numPr>
          <w:ilvl w:val="0"/>
          <w:numId w:val="23"/>
        </w:numPr>
        <w:spacing w:before="156" w:beforeLines="50" w:after="156" w:afterLines="50" w:line="360" w:lineRule="auto"/>
        <w:rPr>
          <w:rFonts w:eastAsia="楷体_GB2312"/>
          <w:kern w:val="0"/>
          <w:sz w:val="24"/>
        </w:rPr>
      </w:pPr>
      <w:r>
        <w:rPr>
          <w:rFonts w:eastAsia="楷体_GB2312"/>
          <w:sz w:val="24"/>
        </w:rPr>
        <w:t>上述</w:t>
      </w:r>
      <w:r>
        <w:rPr>
          <w:rFonts w:eastAsia="楷体_GB2312"/>
          <w:kern w:val="0"/>
          <w:sz w:val="24"/>
        </w:rPr>
        <w:t>机构因分立、合并或出现公司章程规定的解散事由，向国务院金融监督管理机构申请解散；</w:t>
      </w:r>
    </w:p>
    <w:p w14:paraId="6129BE56">
      <w:pPr>
        <w:numPr>
          <w:ilvl w:val="0"/>
          <w:numId w:val="23"/>
        </w:numPr>
        <w:spacing w:before="156" w:beforeLines="50" w:after="156" w:afterLines="50" w:line="360" w:lineRule="auto"/>
        <w:rPr>
          <w:rFonts w:eastAsia="楷体_GB2312"/>
          <w:kern w:val="0"/>
          <w:sz w:val="24"/>
        </w:rPr>
      </w:pPr>
      <w:r>
        <w:rPr>
          <w:rFonts w:eastAsia="楷体_GB2312"/>
          <w:kern w:val="0"/>
          <w:sz w:val="24"/>
        </w:rPr>
        <w:t>国务院金融监督管理机构根据《金融机构撤销条例》规定责令上述机构解散；</w:t>
      </w:r>
    </w:p>
    <w:p w14:paraId="1977D67E">
      <w:pPr>
        <w:numPr>
          <w:ilvl w:val="0"/>
          <w:numId w:val="23"/>
        </w:numPr>
        <w:spacing w:before="156" w:beforeLines="50" w:after="156" w:afterLines="50" w:line="360" w:lineRule="auto"/>
        <w:rPr>
          <w:rFonts w:eastAsia="楷体_GB2312"/>
          <w:kern w:val="0"/>
          <w:sz w:val="24"/>
        </w:rPr>
      </w:pPr>
      <w:r>
        <w:rPr>
          <w:rFonts w:eastAsia="楷体_GB2312"/>
          <w:kern w:val="0"/>
          <w:sz w:val="24"/>
        </w:rPr>
        <w:t>国务院金融监督管理机构公告将上述机构接管；</w:t>
      </w:r>
    </w:p>
    <w:p w14:paraId="256C4CCF">
      <w:pPr>
        <w:numPr>
          <w:ilvl w:val="0"/>
          <w:numId w:val="23"/>
        </w:numPr>
        <w:spacing w:before="156" w:beforeLines="50" w:after="156" w:afterLines="50" w:line="360" w:lineRule="auto"/>
        <w:rPr>
          <w:rFonts w:eastAsia="楷体_GB2312"/>
          <w:kern w:val="0"/>
          <w:sz w:val="24"/>
        </w:rPr>
      </w:pPr>
      <w:r>
        <w:rPr>
          <w:rFonts w:eastAsia="楷体_GB2312"/>
          <w:kern w:val="0"/>
          <w:sz w:val="24"/>
        </w:rPr>
        <w:t>上述机构不能或宣布不能按期偿付债务，或根据应适用的法律被视为不能按期偿付债务；或</w:t>
      </w:r>
    </w:p>
    <w:p w14:paraId="46CB5B0B">
      <w:pPr>
        <w:numPr>
          <w:ilvl w:val="0"/>
          <w:numId w:val="23"/>
        </w:numPr>
        <w:spacing w:before="156" w:beforeLines="50" w:after="156" w:afterLines="50" w:line="360" w:lineRule="auto"/>
        <w:rPr>
          <w:rFonts w:eastAsia="楷体_GB2312"/>
          <w:kern w:val="0"/>
          <w:sz w:val="20"/>
          <w:szCs w:val="20"/>
        </w:rPr>
      </w:pPr>
      <w:r>
        <w:rPr>
          <w:rFonts w:eastAsia="楷体_GB2312"/>
          <w:kern w:val="0"/>
          <w:sz w:val="24"/>
        </w:rPr>
        <w:t>上述机构停止或威胁停止继续经营其主营业务。</w:t>
      </w:r>
    </w:p>
    <w:p w14:paraId="02709788">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重大不利变化：</w:t>
      </w:r>
      <w:r>
        <w:rPr>
          <w:rFonts w:eastAsia="楷体_GB2312"/>
          <w:kern w:val="0"/>
          <w:sz w:val="24"/>
        </w:rPr>
        <w:t>系指任何自然人、合伙、有限责任公司、股份有限公司、信托（包括商业信托）、非公司制团体、合资企业、企业法人、政府实体或其他任何实体的法律地位、财务状况、资产或业务前景的不利变化，这些变化对其履行“交易文件”项下义务的能力产生</w:t>
      </w:r>
      <w:r>
        <w:rPr>
          <w:rFonts w:eastAsia="楷体_GB2312"/>
          <w:bCs/>
          <w:sz w:val="24"/>
        </w:rPr>
        <w:t>“</w:t>
      </w:r>
      <w:r>
        <w:rPr>
          <w:rFonts w:eastAsia="楷体_GB2312"/>
          <w:kern w:val="0"/>
          <w:sz w:val="24"/>
        </w:rPr>
        <w:t>重大不利影响</w:t>
      </w:r>
      <w:r>
        <w:rPr>
          <w:rFonts w:eastAsia="楷体_GB2312"/>
          <w:bCs/>
          <w:sz w:val="24"/>
        </w:rPr>
        <w:t>”</w:t>
      </w:r>
      <w:r>
        <w:rPr>
          <w:rFonts w:eastAsia="楷体_GB2312"/>
          <w:kern w:val="0"/>
          <w:sz w:val="24"/>
        </w:rPr>
        <w:t>。</w:t>
      </w:r>
    </w:p>
    <w:p w14:paraId="3471EA6A">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重大不利影响：</w:t>
      </w:r>
      <w:r>
        <w:rPr>
          <w:rFonts w:eastAsia="楷体_GB2312"/>
          <w:kern w:val="0"/>
          <w:sz w:val="24"/>
        </w:rPr>
        <w:t>系指根据“受托人”的合理判断，可能对以下各项产生重大不利影响的事件、情况、监管行为、制裁或罚款：</w:t>
      </w:r>
    </w:p>
    <w:p w14:paraId="113AAC38">
      <w:pPr>
        <w:numPr>
          <w:ilvl w:val="0"/>
          <w:numId w:val="24"/>
        </w:numPr>
        <w:spacing w:before="156" w:beforeLines="50" w:after="156" w:afterLines="50" w:line="360" w:lineRule="auto"/>
        <w:rPr>
          <w:rFonts w:eastAsia="楷体_GB2312"/>
          <w:b/>
          <w:sz w:val="24"/>
        </w:rPr>
      </w:pPr>
      <w:r>
        <w:rPr>
          <w:rFonts w:eastAsia="楷体_GB2312"/>
          <w:kern w:val="0"/>
          <w:sz w:val="24"/>
        </w:rPr>
        <w:t>“信贷资产”的可回收性；</w:t>
      </w:r>
    </w:p>
    <w:p w14:paraId="12EDA44F">
      <w:pPr>
        <w:numPr>
          <w:ilvl w:val="0"/>
          <w:numId w:val="24"/>
        </w:numPr>
        <w:spacing w:before="156" w:beforeLines="50" w:after="156" w:afterLines="50" w:line="360" w:lineRule="auto"/>
        <w:rPr>
          <w:rFonts w:eastAsia="楷体_GB2312"/>
          <w:b/>
          <w:sz w:val="24"/>
        </w:rPr>
      </w:pPr>
      <w:r>
        <w:rPr>
          <w:rFonts w:eastAsia="楷体_GB2312"/>
          <w:kern w:val="0"/>
          <w:sz w:val="24"/>
        </w:rPr>
        <w:t>“信托”或“信托财产”；</w:t>
      </w:r>
    </w:p>
    <w:p w14:paraId="41C51482">
      <w:pPr>
        <w:numPr>
          <w:ilvl w:val="0"/>
          <w:numId w:val="24"/>
        </w:numPr>
        <w:spacing w:before="156" w:beforeLines="50" w:after="156" w:afterLines="50" w:line="360" w:lineRule="auto"/>
        <w:rPr>
          <w:rFonts w:eastAsia="楷体_GB2312"/>
          <w:b/>
          <w:sz w:val="24"/>
        </w:rPr>
      </w:pPr>
      <w:r>
        <w:rPr>
          <w:rFonts w:eastAsia="楷体_GB2312"/>
          <w:kern w:val="0"/>
          <w:sz w:val="24"/>
        </w:rPr>
        <w:t>“资产支持证券持有人”的权益；</w:t>
      </w:r>
    </w:p>
    <w:p w14:paraId="40B0A6B4">
      <w:pPr>
        <w:numPr>
          <w:ilvl w:val="0"/>
          <w:numId w:val="24"/>
        </w:numPr>
        <w:spacing w:before="156" w:beforeLines="50" w:after="156" w:afterLines="50" w:line="360" w:lineRule="auto"/>
        <w:rPr>
          <w:rFonts w:eastAsia="楷体_GB2312"/>
          <w:b/>
          <w:sz w:val="24"/>
        </w:rPr>
      </w:pPr>
      <w:r>
        <w:rPr>
          <w:rFonts w:eastAsia="楷体_GB2312"/>
          <w:kern w:val="0"/>
          <w:sz w:val="24"/>
        </w:rPr>
        <w:t>“委托人”或“贷款服务机构”的（财务或其他）状况、业务或财产；</w:t>
      </w:r>
    </w:p>
    <w:p w14:paraId="53F81B4F">
      <w:pPr>
        <w:numPr>
          <w:ilvl w:val="0"/>
          <w:numId w:val="24"/>
        </w:numPr>
        <w:spacing w:before="156" w:beforeLines="50" w:after="156" w:afterLines="50" w:line="360" w:lineRule="auto"/>
        <w:rPr>
          <w:rFonts w:eastAsia="楷体_GB2312"/>
          <w:b/>
          <w:sz w:val="24"/>
        </w:rPr>
      </w:pPr>
      <w:r>
        <w:rPr>
          <w:rFonts w:eastAsia="楷体_GB2312"/>
          <w:kern w:val="0"/>
          <w:sz w:val="24"/>
        </w:rPr>
        <w:t>“委托人”、“受托人”、“贷款服务机构”、“资金保管机构”、“登记托管机构”、“支付代理机构”履行其在“交易文件”下各自义务的能力。</w:t>
      </w:r>
    </w:p>
    <w:p w14:paraId="703C9052">
      <w:pPr>
        <w:pStyle w:val="6"/>
        <w:numPr>
          <w:ilvl w:val="0"/>
          <w:numId w:val="15"/>
        </w:numPr>
        <w:spacing w:before="156" w:beforeLines="50" w:after="156" w:afterLines="50" w:line="360" w:lineRule="auto"/>
        <w:ind w:leftChars="0"/>
        <w:outlineLvl w:val="2"/>
        <w:rPr>
          <w:rFonts w:eastAsia="楷体_GB2312"/>
          <w:b/>
          <w:sz w:val="24"/>
        </w:rPr>
      </w:pPr>
      <w:r>
        <w:rPr>
          <w:rFonts w:eastAsia="楷体_GB2312"/>
          <w:b/>
          <w:sz w:val="24"/>
        </w:rPr>
        <w:t>与指标相关</w:t>
      </w:r>
      <w:r>
        <w:rPr>
          <w:rFonts w:eastAsia="楷体_GB2312"/>
          <w:b/>
          <w:color w:val="000000" w:themeColor="text1"/>
          <w:sz w:val="24"/>
          <w14:textFill>
            <w14:solidFill>
              <w14:schemeClr w14:val="tx1"/>
            </w14:solidFill>
          </w14:textFill>
        </w:rPr>
        <w:t>的定义</w:t>
      </w:r>
    </w:p>
    <w:p w14:paraId="5E7985D6">
      <w:pPr>
        <w:numPr>
          <w:ilvl w:val="1"/>
          <w:numId w:val="5"/>
        </w:numPr>
        <w:tabs>
          <w:tab w:val="left" w:pos="851"/>
          <w:tab w:val="clear" w:pos="720"/>
        </w:tabs>
        <w:spacing w:before="156" w:beforeLines="50" w:after="156" w:afterLines="50" w:line="360" w:lineRule="auto"/>
        <w:ind w:left="851" w:hanging="851"/>
        <w:rPr>
          <w:rFonts w:eastAsia="楷体_GB2312"/>
          <w:kern w:val="0"/>
          <w:sz w:val="24"/>
        </w:rPr>
      </w:pPr>
      <w:r>
        <w:rPr>
          <w:rFonts w:eastAsia="楷体_GB2312"/>
          <w:b/>
          <w:kern w:val="0"/>
          <w:sz w:val="24"/>
        </w:rPr>
        <w:t>合格投资：</w:t>
      </w:r>
      <w:r>
        <w:rPr>
          <w:rFonts w:eastAsia="楷体_GB2312"/>
          <w:color w:val="000000" w:themeColor="text1"/>
          <w:kern w:val="0"/>
          <w:sz w:val="24"/>
          <w14:textFill>
            <w14:solidFill>
              <w14:schemeClr w14:val="tx1"/>
            </w14:solidFill>
          </w14:textFill>
        </w:rPr>
        <w:t>系指(a)“受托人”与“合格实体”进行的以“人民币”计价和结算的金融机构存款；和(b)符合监管规定的、流动性好、变现能力强的国债、政策性金融债、货币市场基金及中国人民银行允许投资的其他金融产品。“合格投资”中相当于当期分配所需的部分应于</w:t>
      </w:r>
      <w:r>
        <w:rPr>
          <w:rFonts w:eastAsia="楷体_GB2312"/>
          <w:kern w:val="0"/>
          <w:sz w:val="24"/>
        </w:rPr>
        <w:t>“信托账户”中的资金根据“《信托合同》”的约定进行现金流分配之</w:t>
      </w:r>
      <w:r>
        <w:rPr>
          <w:rFonts w:eastAsia="楷体_GB2312"/>
          <w:color w:val="000000" w:themeColor="text1"/>
          <w:kern w:val="0"/>
          <w:sz w:val="24"/>
          <w14:textFill>
            <w14:solidFill>
              <w14:schemeClr w14:val="tx1"/>
            </w14:solidFill>
          </w14:textFill>
        </w:rPr>
        <w:t>前到期</w:t>
      </w:r>
      <w:r>
        <w:rPr>
          <w:rFonts w:eastAsia="楷体_GB2312"/>
          <w:kern w:val="0"/>
          <w:sz w:val="24"/>
        </w:rPr>
        <w:t>。</w:t>
      </w:r>
    </w:p>
    <w:p w14:paraId="771039E1">
      <w:pPr>
        <w:tabs>
          <w:tab w:val="left" w:pos="425"/>
          <w:tab w:val="left" w:pos="851"/>
          <w:tab w:val="left" w:pos="2763"/>
        </w:tabs>
        <w:spacing w:before="156" w:beforeLines="50" w:after="156" w:afterLines="50" w:line="360" w:lineRule="auto"/>
        <w:ind w:left="851"/>
        <w:rPr>
          <w:rFonts w:eastAsia="楷体_GB2312"/>
          <w:b/>
          <w:bCs/>
          <w:i/>
          <w:color w:val="FF0000"/>
          <w:sz w:val="24"/>
        </w:rPr>
      </w:pPr>
      <w:r>
        <w:rPr>
          <w:rFonts w:eastAsia="楷体_GB2312"/>
          <w:b/>
          <w:bCs/>
          <w:i/>
          <w:color w:val="FF0000"/>
          <w:sz w:val="24"/>
        </w:rPr>
        <w:t>【注：</w:t>
      </w:r>
      <w:r>
        <w:rPr>
          <w:rFonts w:eastAsia="楷体_GB2312"/>
          <w:b/>
          <w:bCs/>
          <w:i/>
          <w:iCs/>
          <w:color w:val="FF0000"/>
          <w:sz w:val="24"/>
        </w:rPr>
        <w:t>合格投资（</w:t>
      </w:r>
      <w:r>
        <w:rPr>
          <w:rFonts w:hint="eastAsia" w:eastAsia="楷体_GB2312"/>
          <w:b/>
          <w:bCs/>
          <w:i/>
          <w:iCs/>
          <w:color w:val="FF0000"/>
          <w:sz w:val="24"/>
        </w:rPr>
        <w:t>1</w:t>
      </w:r>
      <w:r>
        <w:rPr>
          <w:rFonts w:eastAsia="楷体_GB2312"/>
          <w:b/>
          <w:bCs/>
          <w:i/>
          <w:iCs/>
          <w:color w:val="FF0000"/>
          <w:sz w:val="24"/>
        </w:rPr>
        <w:t>）具体品种可调整；（</w:t>
      </w:r>
      <w:r>
        <w:rPr>
          <w:rFonts w:hint="eastAsia" w:eastAsia="楷体_GB2312"/>
          <w:b/>
          <w:bCs/>
          <w:i/>
          <w:iCs/>
          <w:color w:val="FF0000"/>
          <w:sz w:val="24"/>
        </w:rPr>
        <w:t>2</w:t>
      </w:r>
      <w:r>
        <w:rPr>
          <w:rFonts w:eastAsia="楷体_GB2312"/>
          <w:b/>
          <w:bCs/>
          <w:i/>
          <w:iCs/>
          <w:color w:val="FF0000"/>
          <w:sz w:val="24"/>
        </w:rPr>
        <w:t>）不脱离信贷资产证券化试点管理办法规定的“流动性好、变现能力强的国债、政策性金融债及中国人民银行允许投资的其他金融产品”的范畴</w:t>
      </w:r>
      <w:r>
        <w:rPr>
          <w:rFonts w:eastAsia="楷体_GB2312"/>
          <w:b/>
          <w:bCs/>
          <w:i/>
          <w:color w:val="FF0000"/>
          <w:sz w:val="24"/>
        </w:rPr>
        <w:t>。】</w:t>
      </w:r>
    </w:p>
    <w:p w14:paraId="44897675">
      <w:pPr>
        <w:numPr>
          <w:ilvl w:val="1"/>
          <w:numId w:val="5"/>
        </w:numPr>
        <w:tabs>
          <w:tab w:val="left" w:pos="851"/>
          <w:tab w:val="clear" w:pos="720"/>
        </w:tabs>
        <w:spacing w:before="156" w:beforeLines="50" w:after="156" w:afterLines="50" w:line="360" w:lineRule="auto"/>
        <w:ind w:left="851" w:hanging="851"/>
        <w:rPr>
          <w:rFonts w:eastAsia="楷体_GB2312"/>
          <w:kern w:val="0"/>
          <w:sz w:val="24"/>
        </w:rPr>
      </w:pPr>
      <w:r>
        <w:rPr>
          <w:rFonts w:eastAsia="楷体_GB2312"/>
          <w:b/>
          <w:bCs/>
          <w:sz w:val="24"/>
        </w:rPr>
        <w:t>累计违约率：</w:t>
      </w:r>
      <w:r>
        <w:rPr>
          <w:rFonts w:eastAsia="楷体_GB2312"/>
          <w:kern w:val="0"/>
          <w:sz w:val="24"/>
        </w:rPr>
        <w:t>就某一“收款期间”而言，该“收款期间”的“累计违约率”系指A：B所得的</w:t>
      </w:r>
      <w:r>
        <w:rPr>
          <w:rFonts w:eastAsia="楷体_GB2312"/>
          <w:sz w:val="24"/>
        </w:rPr>
        <w:t>百分比</w:t>
      </w:r>
      <w:r>
        <w:rPr>
          <w:rFonts w:eastAsia="楷体_GB2312"/>
          <w:kern w:val="0"/>
          <w:sz w:val="24"/>
        </w:rPr>
        <w:t>，其中，A为该“收款期间”以及之前各“收款期间”内的所有“违约贷款”在成为“违约贷款”时的“未偿本金余额”之和，B为该“收款期间”以及之前各“收款期间”内的所有“贷款”在“初始起算日”的“未偿本金余额”之和。</w:t>
      </w:r>
    </w:p>
    <w:p w14:paraId="68923AF2">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color w:val="000000" w:themeColor="text1"/>
          <w:sz w:val="24"/>
          <w14:textFill>
            <w14:solidFill>
              <w14:schemeClr w14:val="tx1"/>
            </w14:solidFill>
          </w14:textFill>
        </w:rPr>
        <w:t>合格实体：</w:t>
      </w:r>
      <w:r>
        <w:rPr>
          <w:rFonts w:eastAsia="楷体_GB2312"/>
          <w:color w:val="000000" w:themeColor="text1"/>
          <w:sz w:val="24"/>
          <w14:textFill>
            <w14:solidFill>
              <w14:schemeClr w14:val="tx1"/>
            </w14:solidFill>
          </w14:textFill>
        </w:rPr>
        <w:t>系指“</w:t>
      </w:r>
      <w:r>
        <w:rPr>
          <w:rFonts w:eastAsia="楷体_GB2312"/>
          <w:color w:val="000000" w:themeColor="text1"/>
          <w:kern w:val="0"/>
          <w:sz w:val="24"/>
          <w14:textFill>
            <w14:solidFill>
              <w14:schemeClr w14:val="tx1"/>
            </w14:solidFill>
          </w14:textFill>
        </w:rPr>
        <w:t>【评级机构1简称】</w:t>
      </w:r>
      <w:r>
        <w:rPr>
          <w:rFonts w:eastAsia="楷体_GB2312"/>
          <w:color w:val="000000" w:themeColor="text1"/>
          <w:sz w:val="24"/>
          <w14:textFill>
            <w14:solidFill>
              <w14:schemeClr w14:val="tx1"/>
            </w14:solidFill>
          </w14:textFill>
        </w:rPr>
        <w:t>”给予其的主体长期信用等级高于或等于【】级，且“【评级机构2简称】”给予其的主体长期信用等级高于或等于【】级的金融机构。如果“</w:t>
      </w:r>
      <w:r>
        <w:rPr>
          <w:rFonts w:eastAsia="楷体_GB2312"/>
          <w:color w:val="000000" w:themeColor="text1"/>
          <w:kern w:val="0"/>
          <w:sz w:val="24"/>
          <w14:textFill>
            <w14:solidFill>
              <w14:schemeClr w14:val="tx1"/>
            </w14:solidFill>
          </w14:textFill>
        </w:rPr>
        <w:t>【评级机构1简称】</w:t>
      </w:r>
      <w:r>
        <w:rPr>
          <w:rFonts w:eastAsia="楷体_GB2312"/>
          <w:color w:val="000000" w:themeColor="text1"/>
          <w:sz w:val="24"/>
          <w14:textFill>
            <w14:solidFill>
              <w14:schemeClr w14:val="tx1"/>
            </w14:solidFill>
          </w14:textFill>
        </w:rPr>
        <w:t>”或“【评级机构2简称】”一方暂时无法提供主体长期信用等级时，则以另一方提供的主体长期信用等级为准。</w:t>
      </w:r>
    </w:p>
    <w:p w14:paraId="4CEC4AF4">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color w:val="000000" w:themeColor="text1"/>
          <w:kern w:val="0"/>
          <w:sz w:val="24"/>
          <w14:textFill>
            <w14:solidFill>
              <w14:schemeClr w14:val="tx1"/>
            </w14:solidFill>
          </w14:textFill>
        </w:rPr>
        <w:t>必备评级等级：</w:t>
      </w:r>
      <w:r>
        <w:rPr>
          <w:rFonts w:eastAsia="楷体_GB2312"/>
          <w:color w:val="000000" w:themeColor="text1"/>
          <w:kern w:val="0"/>
          <w:sz w:val="24"/>
          <w14:textFill>
            <w14:solidFill>
              <w14:schemeClr w14:val="tx1"/>
            </w14:solidFill>
          </w14:textFill>
        </w:rPr>
        <w:t>就“【评级机构1简称】”的评级系统而言，系指</w:t>
      </w:r>
      <w:r>
        <w:rPr>
          <w:rFonts w:eastAsia="楷体_GB2312"/>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级及更高的主体长期信用等级；就“【评级机构2简称】”的评级系统而言，系指</w:t>
      </w:r>
      <w:r>
        <w:rPr>
          <w:rFonts w:eastAsia="楷体_GB2312"/>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级及更高的主体长期信用等级。</w:t>
      </w:r>
    </w:p>
    <w:p w14:paraId="200441D8">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初始</w:t>
      </w:r>
      <w:r>
        <w:rPr>
          <w:rFonts w:eastAsia="楷体_GB2312"/>
          <w:b/>
          <w:sz w:val="24"/>
        </w:rPr>
        <w:t>起算日资产池余额</w:t>
      </w:r>
      <w:r>
        <w:rPr>
          <w:rFonts w:eastAsia="楷体_GB2312"/>
          <w:sz w:val="24"/>
        </w:rPr>
        <w:t>：系指“资产池”中全部“贷款”</w:t>
      </w:r>
      <w:r>
        <w:rPr>
          <w:rFonts w:hint="eastAsia" w:eastAsia="楷体_GB2312"/>
          <w:sz w:val="24"/>
        </w:rPr>
        <w:t>截至</w:t>
      </w:r>
      <w:r>
        <w:rPr>
          <w:rFonts w:eastAsia="楷体_GB2312"/>
          <w:sz w:val="24"/>
        </w:rPr>
        <w:t>“初始起算日【</w:t>
      </w:r>
      <w:r>
        <w:rPr>
          <w:rFonts w:eastAsia="楷体_GB2312"/>
          <w:i/>
          <w:iCs/>
          <w:color w:val="000000" w:themeColor="text1"/>
          <w:kern w:val="0"/>
          <w:sz w:val="24"/>
          <w14:textFill>
            <w14:solidFill>
              <w14:schemeClr w14:val="tx1"/>
            </w14:solidFill>
          </w14:textFill>
        </w:rPr>
        <w:t>具体时点</w:t>
      </w:r>
      <w:r>
        <w:rPr>
          <w:rFonts w:eastAsia="楷体_GB2312"/>
          <w:sz w:val="24"/>
        </w:rPr>
        <w:t>】</w:t>
      </w:r>
      <w:r>
        <w:rPr>
          <w:rFonts w:hint="eastAsia" w:eastAsia="楷体_GB2312"/>
          <w:sz w:val="24"/>
        </w:rPr>
        <w:t>的</w:t>
      </w:r>
      <w:r>
        <w:rPr>
          <w:rFonts w:eastAsia="楷体_GB2312"/>
          <w:sz w:val="24"/>
        </w:rPr>
        <w:t>未偿还本金、利息、费用及其他应付款项（如有</w:t>
      </w:r>
      <w:r>
        <w:rPr>
          <w:rFonts w:eastAsia="楷体_GB2312"/>
          <w:bCs/>
          <w:color w:val="000000" w:themeColor="text1"/>
          <w:sz w:val="24"/>
          <w14:textFill>
            <w14:solidFill>
              <w14:schemeClr w14:val="tx1"/>
            </w14:solidFill>
          </w14:textFill>
        </w:rPr>
        <w:t>）之和</w:t>
      </w:r>
      <w:r>
        <w:rPr>
          <w:rFonts w:eastAsia="楷体_GB2312"/>
          <w:sz w:val="24"/>
        </w:rPr>
        <w:t>。</w:t>
      </w:r>
    </w:p>
    <w:p w14:paraId="5E5EAEB8">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初始</w:t>
      </w:r>
      <w:r>
        <w:rPr>
          <w:rFonts w:eastAsia="楷体_GB2312"/>
          <w:b/>
          <w:sz w:val="24"/>
        </w:rPr>
        <w:t>起算日本金余额</w:t>
      </w:r>
      <w:r>
        <w:rPr>
          <w:rFonts w:eastAsia="楷体_GB2312"/>
          <w:sz w:val="24"/>
        </w:rPr>
        <w:t>：系指每笔“贷款”截至“初始起算日”【</w:t>
      </w:r>
      <w:r>
        <w:rPr>
          <w:rFonts w:eastAsia="楷体_GB2312"/>
          <w:i/>
          <w:iCs/>
          <w:color w:val="000000" w:themeColor="text1"/>
          <w:kern w:val="0"/>
          <w:sz w:val="24"/>
          <w14:textFill>
            <w14:solidFill>
              <w14:schemeClr w14:val="tx1"/>
            </w14:solidFill>
          </w14:textFill>
        </w:rPr>
        <w:t>具体时点</w:t>
      </w:r>
      <w:r>
        <w:rPr>
          <w:rFonts w:eastAsia="楷体_GB2312"/>
          <w:sz w:val="24"/>
        </w:rPr>
        <w:t>】“借款人”未偿还的本金金额。</w:t>
      </w:r>
    </w:p>
    <w:p w14:paraId="7161ABF9">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bCs/>
          <w:sz w:val="24"/>
        </w:rPr>
        <w:t>优先</w:t>
      </w:r>
      <w:r>
        <w:rPr>
          <w:rFonts w:eastAsia="楷体_GB2312"/>
          <w:b/>
          <w:sz w:val="24"/>
        </w:rPr>
        <w:t>支出上限：</w:t>
      </w:r>
      <w:r>
        <w:rPr>
          <w:rFonts w:eastAsia="楷体_GB2312"/>
          <w:sz w:val="24"/>
        </w:rPr>
        <w:t>系指根据“《信托合同》”的约定，在各“信托利益核算日”可以优先于“优先级资产支持证券”利息进行支付的“费用支出”的限额，即人民币【】万元。</w:t>
      </w:r>
    </w:p>
    <w:p w14:paraId="4B0F5536">
      <w:pPr>
        <w:pStyle w:val="6"/>
        <w:numPr>
          <w:ilvl w:val="0"/>
          <w:numId w:val="3"/>
        </w:numPr>
        <w:spacing w:before="156" w:beforeLines="50" w:after="156" w:afterLines="50" w:line="360" w:lineRule="auto"/>
        <w:ind w:leftChars="0"/>
        <w:outlineLvl w:val="1"/>
        <w:rPr>
          <w:rFonts w:eastAsia="楷体_GB2312"/>
          <w:b/>
          <w:sz w:val="24"/>
        </w:rPr>
      </w:pPr>
      <w:bookmarkStart w:id="58" w:name="_Toc173860443"/>
      <w:r>
        <w:rPr>
          <w:rFonts w:eastAsia="楷体_GB2312"/>
          <w:b/>
          <w:sz w:val="24"/>
        </w:rPr>
        <w:t>发行资产支持证券所涉及的定义</w:t>
      </w:r>
    </w:p>
    <w:p w14:paraId="2644C5DF">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发行文件：</w:t>
      </w:r>
      <w:r>
        <w:rPr>
          <w:rFonts w:eastAsia="楷体_GB2312"/>
          <w:bCs/>
          <w:sz w:val="24"/>
        </w:rPr>
        <w:t>系指在“资产支持证券”发行过程中必需的文件、材料或其他资料及其所有修改和补充文件（包括但不限于“《发行说明书》”、发行办法、发行公告、信托公告等）。</w:t>
      </w:r>
    </w:p>
    <w:p w14:paraId="3767B9E7">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《发行说明书》：</w:t>
      </w:r>
      <w:r>
        <w:rPr>
          <w:rFonts w:eastAsia="楷体_GB2312"/>
          <w:sz w:val="24"/>
        </w:rPr>
        <w:t>系指“发行人”根据有关“中国法律”为发行“资产支持证券”而</w:t>
      </w:r>
      <w:r>
        <w:rPr>
          <w:rFonts w:eastAsia="楷体_GB2312"/>
          <w:bCs/>
          <w:sz w:val="24"/>
        </w:rPr>
        <w:t>制定</w:t>
      </w:r>
      <w:r>
        <w:rPr>
          <w:rFonts w:eastAsia="楷体_GB2312"/>
          <w:sz w:val="24"/>
        </w:rPr>
        <w:t>的《【证券名称】发行说明书》</w:t>
      </w:r>
      <w:r>
        <w:rPr>
          <w:rFonts w:eastAsia="楷体_GB2312"/>
          <w:bCs/>
          <w:sz w:val="24"/>
        </w:rPr>
        <w:t>及其</w:t>
      </w:r>
      <w:r>
        <w:rPr>
          <w:rFonts w:eastAsia="楷体_GB2312"/>
          <w:sz w:val="24"/>
        </w:rPr>
        <w:t>任何修改或补充。</w:t>
      </w:r>
    </w:p>
    <w:p w14:paraId="2153AE1C">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资产支持证券募集资金：</w:t>
      </w:r>
      <w:r>
        <w:rPr>
          <w:rFonts w:eastAsia="楷体_GB2312"/>
          <w:bCs/>
          <w:sz w:val="24"/>
        </w:rPr>
        <w:t>系指截至“缴款截止日”，“发行人”通过发行“资产支持证券”（不包括“发起机构”自持的“资产支持证券”）而募集的资金总和。</w:t>
      </w:r>
    </w:p>
    <w:p w14:paraId="224B1DD3">
      <w:pPr>
        <w:numPr>
          <w:ilvl w:val="1"/>
          <w:numId w:val="5"/>
        </w:numPr>
        <w:tabs>
          <w:tab w:val="left" w:pos="851"/>
        </w:tabs>
        <w:spacing w:before="156" w:beforeLines="50" w:after="156" w:afterLines="50" w:line="360" w:lineRule="auto"/>
        <w:ind w:left="851" w:hanging="851"/>
        <w:rPr>
          <w:rFonts w:eastAsia="楷体_GB2312"/>
          <w:b/>
          <w:bCs/>
          <w:sz w:val="24"/>
        </w:rPr>
      </w:pPr>
      <w:r>
        <w:rPr>
          <w:rFonts w:eastAsia="楷体_GB2312"/>
          <w:b/>
          <w:bCs/>
          <w:sz w:val="24"/>
        </w:rPr>
        <w:t>发行成功：</w:t>
      </w:r>
      <w:r>
        <w:rPr>
          <w:rFonts w:eastAsia="楷体_GB2312"/>
          <w:bCs/>
          <w:sz w:val="24"/>
        </w:rPr>
        <w:t>系指全部各级“资产支持证券”发行完毕</w:t>
      </w:r>
      <w:r>
        <w:rPr>
          <w:rFonts w:eastAsia="楷体_GB2312"/>
          <w:sz w:val="24"/>
        </w:rPr>
        <w:t>且“资产支持证券”（“发起机构”自持的“资产支持证券”除外）认购资金全部足额缴纳</w:t>
      </w:r>
      <w:r>
        <w:rPr>
          <w:rFonts w:eastAsia="楷体_GB2312"/>
          <w:bCs/>
          <w:sz w:val="24"/>
        </w:rPr>
        <w:t>。反之，视为发行不成功。</w:t>
      </w:r>
    </w:p>
    <w:p w14:paraId="36C3DD3A">
      <w:pPr>
        <w:numPr>
          <w:ilvl w:val="1"/>
          <w:numId w:val="5"/>
        </w:numPr>
        <w:tabs>
          <w:tab w:val="left" w:pos="851"/>
        </w:tabs>
        <w:spacing w:before="156" w:beforeLines="50" w:after="156" w:afterLines="50" w:line="360" w:lineRule="auto"/>
        <w:ind w:left="851" w:hanging="851"/>
        <w:rPr>
          <w:rFonts w:eastAsia="楷体_GB2312"/>
          <w:b/>
          <w:bCs/>
          <w:sz w:val="24"/>
        </w:rPr>
      </w:pPr>
      <w:r>
        <w:rPr>
          <w:rFonts w:eastAsia="楷体_GB2312"/>
          <w:b/>
          <w:bCs/>
          <w:sz w:val="24"/>
        </w:rPr>
        <w:t>簿记建档：</w:t>
      </w:r>
      <w:r>
        <w:rPr>
          <w:rFonts w:eastAsia="楷体_GB2312"/>
          <w:bCs/>
          <w:sz w:val="24"/>
        </w:rPr>
        <w:t>系指由“簿记管理人”记录投资者认购数量和“资产支持证券”【利率/利差</w:t>
      </w:r>
      <w:r>
        <w:rPr>
          <w:rFonts w:eastAsia="楷体_GB2312"/>
          <w:bCs/>
          <w:color w:val="000000" w:themeColor="text1"/>
          <w:sz w:val="24"/>
          <w14:textFill>
            <w14:solidFill>
              <w14:schemeClr w14:val="tx1"/>
            </w14:solidFill>
          </w14:textFill>
        </w:rPr>
        <w:t>或价格】</w:t>
      </w:r>
      <w:r>
        <w:rPr>
          <w:rFonts w:eastAsia="楷体_GB2312"/>
          <w:bCs/>
          <w:sz w:val="24"/>
        </w:rPr>
        <w:t>水平的意愿的程序。</w:t>
      </w:r>
    </w:p>
    <w:p w14:paraId="130ACF0B">
      <w:pPr>
        <w:tabs>
          <w:tab w:val="left" w:pos="425"/>
          <w:tab w:val="left" w:pos="720"/>
          <w:tab w:val="left" w:pos="851"/>
        </w:tabs>
        <w:spacing w:before="156" w:beforeLines="50" w:after="156" w:afterLines="50" w:line="360" w:lineRule="auto"/>
        <w:ind w:left="851"/>
        <w:rPr>
          <w:rFonts w:eastAsia="楷体_GB2312"/>
          <w:b/>
          <w:bCs/>
          <w:i/>
          <w:sz w:val="24"/>
        </w:rPr>
      </w:pPr>
      <w:r>
        <w:rPr>
          <w:rFonts w:eastAsia="楷体_GB2312"/>
          <w:b/>
          <w:bCs/>
          <w:i/>
          <w:color w:val="FF0000"/>
          <w:sz w:val="24"/>
        </w:rPr>
        <w:t>【注：</w:t>
      </w:r>
      <w:r>
        <w:rPr>
          <w:rFonts w:eastAsia="楷体_GB2312"/>
          <w:b/>
          <w:i/>
          <w:color w:val="FF0000"/>
          <w:sz w:val="24"/>
        </w:rPr>
        <w:t>如为招标发行，则涉及发行的相关定义则可相应予以调整</w:t>
      </w:r>
      <w:r>
        <w:rPr>
          <w:rFonts w:eastAsia="楷体_GB2312"/>
          <w:b/>
          <w:bCs/>
          <w:i/>
          <w:color w:val="FF0000"/>
          <w:sz w:val="24"/>
        </w:rPr>
        <w:t>。】</w:t>
      </w:r>
    </w:p>
    <w:p w14:paraId="20B58BBA">
      <w:pPr>
        <w:numPr>
          <w:ilvl w:val="1"/>
          <w:numId w:val="5"/>
        </w:numPr>
        <w:tabs>
          <w:tab w:val="left" w:pos="851"/>
        </w:tabs>
        <w:spacing w:before="156" w:beforeLines="50" w:after="156" w:afterLines="50" w:line="360" w:lineRule="auto"/>
        <w:ind w:left="851" w:hanging="851"/>
        <w:rPr>
          <w:rFonts w:eastAsia="楷体_GB2312"/>
          <w:bCs/>
          <w:sz w:val="24"/>
        </w:rPr>
      </w:pPr>
      <w:r>
        <w:rPr>
          <w:rFonts w:eastAsia="楷体_GB2312"/>
          <w:b/>
          <w:bCs/>
          <w:sz w:val="24"/>
        </w:rPr>
        <w:t>基准利率：</w:t>
      </w:r>
      <w:r>
        <w:rPr>
          <w:rFonts w:eastAsia="楷体_GB2312"/>
          <w:bCs/>
          <w:sz w:val="24"/>
        </w:rPr>
        <w:t>系指“人民银行”授权的机构（在“信托生效日”为“同业拆借中心”）发布的【】年期贷款市场报价利率（LPR）。其中，第一个“计息期间”的“基准利率”为【】年【】月发布的【】年期贷款市场报价利率（LPR）。“基准利率”将于基准利率调整日进行调整，基准利率调整日为“信托生效日”后每年的【】月【】日，其中第一个基准利率调整日为【】年【】月【】日，“基准利率”于基准利率调整日调整为基准利率调整日前一个月发布的【】年期贷款市场报价利率。若“人民银行”后续要求按照新的定价基准调整【】年期存量浮动利率贷款的利率，或允许商业银行自行确定【】年期存量浮动利率贷款的定价基准的，则基准利率采用届时“【发起机构简称】”【】年期存量浮动利率贷款适用的定价基准，基准利率调整日为新定价基准实施后每年的【】月【】日，“基准利率”于基准利率调整日调整为基准利率调整日前一个月“【发起机构简称】”【】年期存量浮动利率贷款适用的定价基准。</w:t>
      </w:r>
    </w:p>
    <w:p w14:paraId="6FBE10EB">
      <w:pPr>
        <w:tabs>
          <w:tab w:val="left" w:pos="425"/>
          <w:tab w:val="left" w:pos="720"/>
          <w:tab w:val="left" w:pos="851"/>
        </w:tabs>
        <w:spacing w:before="156" w:beforeLines="50" w:after="156" w:afterLines="50" w:line="360" w:lineRule="auto"/>
        <w:ind w:left="851"/>
        <w:rPr>
          <w:rFonts w:eastAsia="楷体_GB2312"/>
          <w:b/>
          <w:bCs/>
          <w:i/>
          <w:iCs/>
          <w:color w:val="FF0000"/>
          <w:sz w:val="24"/>
        </w:rPr>
      </w:pPr>
      <w:r>
        <w:rPr>
          <w:rFonts w:eastAsia="楷体_GB2312"/>
          <w:b/>
          <w:bCs/>
          <w:i/>
          <w:iCs/>
          <w:color w:val="FF0000"/>
          <w:sz w:val="24"/>
        </w:rPr>
        <w:t>【注：具体项目基准利率调整日可选择次期调整、每年1月1日调整、按季调整、次年对日调整等。】</w:t>
      </w:r>
    </w:p>
    <w:p w14:paraId="699C09F8">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基本利差：</w:t>
      </w:r>
      <w:r>
        <w:rPr>
          <w:rFonts w:eastAsia="楷体_GB2312"/>
          <w:bCs/>
          <w:sz w:val="24"/>
        </w:rPr>
        <w:t>系指通过“簿记建档”的方式确定的并在《【证券名称】发行公告》上公布的适用于【“优先级资产支持证券”】的相应利差。</w:t>
      </w:r>
    </w:p>
    <w:p w14:paraId="22376003">
      <w:pPr>
        <w:adjustRightInd w:val="0"/>
        <w:spacing w:before="156" w:beforeLines="50" w:after="156" w:afterLines="50" w:line="360" w:lineRule="auto"/>
        <w:ind w:left="851"/>
        <w:textAlignment w:val="baseline"/>
        <w:rPr>
          <w:rFonts w:eastAsia="楷体_GB2312"/>
          <w:b/>
          <w:bCs/>
          <w:i/>
          <w:iCs/>
          <w:color w:val="FF0000"/>
          <w:sz w:val="24"/>
        </w:rPr>
      </w:pPr>
      <w:r>
        <w:rPr>
          <w:rFonts w:eastAsia="楷体_GB2312"/>
          <w:b/>
          <w:bCs/>
          <w:i/>
          <w:iCs/>
          <w:color w:val="FF0000"/>
          <w:sz w:val="24"/>
        </w:rPr>
        <w:t>【注：1、“基准利率”和“基本利差”的概念适用于“优先级资产支持证券”采用浮动利率的情形，且“基准利率”的确定可根据具体项目调整；如“优先级资产支持证券”采用固定利率，则删除“基准利率”和“基本利差”相关内容。2、</w:t>
      </w:r>
      <w:r>
        <w:rPr>
          <w:rFonts w:eastAsia="楷体_GB2312"/>
          <w:b/>
          <w:bCs/>
          <w:i/>
          <w:color w:val="FF0000"/>
          <w:sz w:val="24"/>
        </w:rPr>
        <w:t>如采用招标的发行方式，则上述定义应修改为：基本利差：系指通过公开招标的方式予以确定的并在《发行结果公告》上公布的适用于各“优先级资产支持证券”的相应利差。</w:t>
      </w:r>
      <w:r>
        <w:rPr>
          <w:rFonts w:eastAsia="楷体_GB2312"/>
          <w:b/>
          <w:bCs/>
          <w:i/>
          <w:iCs/>
          <w:color w:val="FF0000"/>
          <w:sz w:val="24"/>
        </w:rPr>
        <w:t>】</w:t>
      </w:r>
    </w:p>
    <w:p w14:paraId="416B22AA">
      <w:pPr>
        <w:pStyle w:val="6"/>
        <w:numPr>
          <w:ilvl w:val="0"/>
          <w:numId w:val="3"/>
        </w:numPr>
        <w:spacing w:before="156" w:beforeLines="50" w:after="156" w:afterLines="50" w:line="360" w:lineRule="auto"/>
        <w:ind w:leftChars="0"/>
        <w:outlineLvl w:val="1"/>
        <w:rPr>
          <w:rFonts w:eastAsia="楷体_GB2312"/>
          <w:b/>
          <w:sz w:val="24"/>
        </w:rPr>
      </w:pPr>
      <w:r>
        <w:rPr>
          <w:rFonts w:eastAsia="楷体_GB2312"/>
          <w:b/>
          <w:sz w:val="24"/>
        </w:rPr>
        <w:t>与信托有关的费用和报酬</w:t>
      </w:r>
      <w:bookmarkEnd w:id="58"/>
      <w:r>
        <w:rPr>
          <w:rFonts w:hint="eastAsia" w:eastAsia="楷体_GB2312"/>
          <w:b/>
          <w:sz w:val="24"/>
        </w:rPr>
        <w:t>的定义</w:t>
      </w:r>
    </w:p>
    <w:p w14:paraId="461DA9DA">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color w:val="000000"/>
          <w:sz w:val="24"/>
        </w:rPr>
        <w:t>执行费用：</w:t>
      </w:r>
      <w:r>
        <w:rPr>
          <w:rFonts w:eastAsia="楷体_GB2312"/>
          <w:sz w:val="24"/>
        </w:rPr>
        <w:t>系指“贷款服务机构”对“借款人”</w:t>
      </w:r>
      <w:r>
        <w:rPr>
          <w:rFonts w:eastAsia="楷体_GB2312"/>
          <w:kern w:val="0"/>
          <w:sz w:val="24"/>
        </w:rPr>
        <w:t>、“担保人”（如有）</w:t>
      </w:r>
      <w:r>
        <w:rPr>
          <w:rFonts w:eastAsia="楷体_GB2312"/>
          <w:sz w:val="24"/>
        </w:rPr>
        <w:t>提起诉讼或仲裁、申请强制执行、通过参加破产程序回收“违约贷款”以及</w:t>
      </w:r>
      <w:r>
        <w:rPr>
          <w:rFonts w:eastAsia="楷体_GB2312"/>
          <w:kern w:val="0"/>
          <w:sz w:val="24"/>
        </w:rPr>
        <w:t>因采取诉讼、仲裁以外的其他方式</w:t>
      </w:r>
      <w:r>
        <w:rPr>
          <w:rFonts w:eastAsia="楷体_GB2312"/>
          <w:sz w:val="24"/>
        </w:rPr>
        <w:t>处置“违约贷款”时合理发生的所有成本、费用和税收（但“贷款服务机构”须提供合理证据）。“执行费用”如果由“贷款服务机构”先行垫付，一旦“贷款服务机构”通过执行全部或部分收回了任何一笔“违约贷款”，则“贷款服务机构”有权从上述“违约贷款”的回收金额中扣除其以往已经为全部“违约贷款”垫付的所有“执行费用”；当受托人先行支付“执行费用”时，受托人根据《信托合同》第【</w:t>
      </w:r>
      <w:r>
        <w:rPr>
          <w:rFonts w:hint="eastAsia" w:eastAsia="楷体_GB2312"/>
          <w:sz w:val="24"/>
        </w:rPr>
        <w:t>10</w:t>
      </w:r>
      <w:r>
        <w:rPr>
          <w:rFonts w:eastAsia="楷体_GB2312"/>
          <w:sz w:val="24"/>
        </w:rPr>
        <w:t>】条约定收取“执行费用”。</w:t>
      </w:r>
    </w:p>
    <w:p w14:paraId="7B09DEB8">
      <w:pPr>
        <w:tabs>
          <w:tab w:val="left" w:pos="425"/>
          <w:tab w:val="left" w:pos="720"/>
          <w:tab w:val="left" w:pos="851"/>
        </w:tabs>
        <w:spacing w:before="156" w:beforeLines="50" w:after="156" w:afterLines="50" w:line="360" w:lineRule="auto"/>
        <w:ind w:left="972"/>
        <w:rPr>
          <w:rFonts w:eastAsia="楷体_GB2312"/>
          <w:b/>
          <w:i/>
          <w:iCs/>
          <w:color w:val="FF0000"/>
          <w:sz w:val="24"/>
        </w:rPr>
      </w:pPr>
      <w:r>
        <w:rPr>
          <w:rFonts w:eastAsia="楷体_GB2312"/>
          <w:b/>
          <w:i/>
          <w:iCs/>
          <w:color w:val="FF0000"/>
          <w:sz w:val="24"/>
        </w:rPr>
        <w:t>【注：执行费用范围及承担方式可根据具体项目调整。】</w:t>
      </w:r>
    </w:p>
    <w:p w14:paraId="44B22078">
      <w:pPr>
        <w:numPr>
          <w:ilvl w:val="1"/>
          <w:numId w:val="5"/>
        </w:numPr>
        <w:tabs>
          <w:tab w:val="left" w:pos="851"/>
          <w:tab w:val="clear" w:pos="720"/>
        </w:tabs>
        <w:spacing w:before="156" w:beforeLines="50" w:after="156" w:afterLines="50" w:line="360" w:lineRule="auto"/>
        <w:ind w:left="851" w:hanging="851"/>
        <w:rPr>
          <w:rFonts w:eastAsia="楷体_GB2312"/>
          <w:kern w:val="0"/>
          <w:sz w:val="24"/>
        </w:rPr>
      </w:pPr>
      <w:r>
        <w:rPr>
          <w:rFonts w:eastAsia="楷体_GB2312"/>
          <w:b/>
          <w:color w:val="000000"/>
          <w:sz w:val="24"/>
        </w:rPr>
        <w:t>费用支出：</w:t>
      </w:r>
      <w:r>
        <w:rPr>
          <w:rFonts w:eastAsia="楷体_GB2312"/>
          <w:kern w:val="0"/>
          <w:sz w:val="24"/>
        </w:rPr>
        <w:t>就各相关主体而言，系指该方作为当事人与其他本次交易相关主体之间发生的与本次证券化交易相关的诉讼或仲裁而发生的合理律师费、诉讼费、仲裁费和执行费（扣除按照法院判决或仲裁裁决应当由对方承担的律师费、诉讼费、仲裁费和执行费），</w:t>
      </w:r>
      <w:r>
        <w:rPr>
          <w:rFonts w:eastAsia="楷体_GB2312"/>
          <w:bCs/>
          <w:color w:val="000000"/>
          <w:sz w:val="24"/>
        </w:rPr>
        <w:t>以及该方为管理“信托财产”所支出的根据“交易文件”的约定由“信托财产”承担的必要费用，</w:t>
      </w:r>
      <w:r>
        <w:rPr>
          <w:rFonts w:eastAsia="楷体_GB2312"/>
          <w:kern w:val="0"/>
          <w:sz w:val="24"/>
        </w:rPr>
        <w:t>但不包括：(a)该方因过失、故意的不当行为、违约或欺诈情况下按法院判决或仲裁裁决须由其自身承担的律师费、诉讼费、仲裁费和执行费，以及(b)该方提供服务应获取的报酬。</w:t>
      </w:r>
    </w:p>
    <w:p w14:paraId="00947D87">
      <w:pPr>
        <w:tabs>
          <w:tab w:val="left" w:pos="425"/>
          <w:tab w:val="left" w:pos="720"/>
          <w:tab w:val="left" w:pos="851"/>
        </w:tabs>
        <w:spacing w:before="156" w:beforeLines="50" w:after="156" w:afterLines="50" w:line="360" w:lineRule="auto"/>
        <w:ind w:left="851"/>
        <w:rPr>
          <w:rFonts w:eastAsia="楷体_GB2312"/>
          <w:kern w:val="0"/>
          <w:sz w:val="24"/>
        </w:rPr>
      </w:pPr>
      <w:r>
        <w:rPr>
          <w:rFonts w:eastAsia="楷体_GB2312"/>
          <w:color w:val="000000"/>
          <w:kern w:val="0"/>
          <w:sz w:val="24"/>
        </w:rPr>
        <w:t>其中，就“受托人”而言，除上述费用和支出外，该等实际费用和支出还包括“信托”设立后的信息披露费用、相关“资产支持证券”的上市流通费用（如有）、召集“资产支持证券持有人大会”发生的费用、</w:t>
      </w:r>
      <w:r>
        <w:rPr>
          <w:rFonts w:eastAsia="楷体_GB2312"/>
          <w:color w:val="000000"/>
          <w:sz w:val="24"/>
        </w:rPr>
        <w:t>资金汇划费、</w:t>
      </w:r>
      <w:r>
        <w:rPr>
          <w:rFonts w:eastAsia="楷体_GB2312"/>
          <w:color w:val="000000"/>
          <w:kern w:val="0"/>
          <w:sz w:val="24"/>
        </w:rPr>
        <w:t>发送“贷款服务机构”解任通知的费用、“后备贷款服务机构”或“替代贷款服务机构”接收服务发生的费用</w:t>
      </w:r>
      <w:r>
        <w:rPr>
          <w:rFonts w:eastAsia="楷体_GB2312"/>
          <w:color w:val="000000"/>
          <w:sz w:val="24"/>
        </w:rPr>
        <w:t>、年度审计询证的费用、因“清仓回购”产生的费用（不包括根据“《信托合同》”第【</w:t>
      </w:r>
      <w:r>
        <w:rPr>
          <w:rFonts w:hint="eastAsia" w:eastAsia="楷体_GB2312"/>
          <w:color w:val="000000"/>
          <w:sz w:val="24"/>
        </w:rPr>
        <w:t>16</w:t>
      </w:r>
      <w:r>
        <w:rPr>
          <w:rFonts w:eastAsia="楷体_GB2312"/>
          <w:color w:val="000000"/>
          <w:kern w:val="0"/>
          <w:sz w:val="24"/>
        </w:rPr>
        <w:t>】</w:t>
      </w:r>
      <w:r>
        <w:rPr>
          <w:rFonts w:eastAsia="楷体_GB2312"/>
          <w:color w:val="000000"/>
          <w:sz w:val="24"/>
        </w:rPr>
        <w:t>条约定由“委托人”承担的费用）、</w:t>
      </w:r>
      <w:r>
        <w:rPr>
          <w:rFonts w:eastAsia="楷体_GB2312"/>
          <w:kern w:val="0"/>
          <w:sz w:val="24"/>
        </w:rPr>
        <w:t>办理存量“信贷资产”转让登记的费用（如有）</w:t>
      </w:r>
      <w:r>
        <w:rPr>
          <w:rFonts w:eastAsia="楷体_GB2312"/>
          <w:color w:val="000000"/>
          <w:sz w:val="24"/>
        </w:rPr>
        <w:t>、“受托人”管理或</w:t>
      </w:r>
      <w:r>
        <w:rPr>
          <w:rFonts w:eastAsia="楷体_GB2312"/>
          <w:color w:val="000000"/>
          <w:kern w:val="0"/>
          <w:sz w:val="24"/>
        </w:rPr>
        <w:t>处置“信托财产”所发生的其他费用等；</w:t>
      </w:r>
      <w:r>
        <w:rPr>
          <w:rFonts w:eastAsia="楷体_GB2312"/>
          <w:kern w:val="0"/>
          <w:sz w:val="24"/>
        </w:rPr>
        <w:t>就“贷款服务机构”而言，除上述费用和支出外，该等实际支出和费用还包括</w:t>
      </w:r>
      <w:r>
        <w:rPr>
          <w:rFonts w:eastAsia="楷体_GB2312"/>
          <w:color w:val="000000" w:themeColor="text1"/>
          <w:kern w:val="0"/>
          <w:sz w:val="24"/>
          <w14:textFill>
            <w14:solidFill>
              <w14:schemeClr w14:val="tx1"/>
            </w14:solidFill>
          </w14:textFill>
        </w:rPr>
        <w:t>“贷款服务机构”向“信托账户”转付资金所产生的资金汇划费</w:t>
      </w:r>
      <w:bookmarkStart w:id="59" w:name="_Hlk38315857"/>
      <w:r>
        <w:rPr>
          <w:rFonts w:eastAsia="楷体_GB2312"/>
          <w:color w:val="000000" w:themeColor="text1"/>
          <w:kern w:val="0"/>
          <w:sz w:val="24"/>
          <w14:textFill>
            <w14:solidFill>
              <w14:schemeClr w14:val="tx1"/>
            </w14:solidFill>
          </w14:textFill>
        </w:rPr>
        <w:t>（如有）</w:t>
      </w:r>
      <w:r>
        <w:rPr>
          <w:rFonts w:eastAsia="楷体_GB2312"/>
          <w:color w:val="000000" w:themeColor="text1"/>
          <w:kern w:val="0"/>
          <w:sz w:val="24"/>
          <w:lang w:val="en-GB"/>
          <w14:textFill>
            <w14:solidFill>
              <w14:schemeClr w14:val="tx1"/>
            </w14:solidFill>
          </w14:textFill>
        </w:rPr>
        <w:t>以及</w:t>
      </w:r>
      <w:bookmarkEnd w:id="59"/>
      <w:r>
        <w:rPr>
          <w:rFonts w:eastAsia="楷体_GB2312"/>
          <w:kern w:val="0"/>
          <w:sz w:val="24"/>
        </w:rPr>
        <w:t>因变更“《借款合同》”、“《担保合同》”（如有）而使“贷款服务机构”承担的额外费用，但不包括“执行费用”。就“资金保管机构”而言，除上述费用和支出外，该等实际支出和费用还包括开户费、资金汇划费、账户管理费、网银年费及其他银行手续费用。</w:t>
      </w:r>
    </w:p>
    <w:p w14:paraId="5BA06707">
      <w:pPr>
        <w:tabs>
          <w:tab w:val="left" w:pos="425"/>
          <w:tab w:val="left" w:pos="851"/>
          <w:tab w:val="left" w:pos="2763"/>
        </w:tabs>
        <w:spacing w:before="156" w:beforeLines="50" w:after="156" w:afterLines="50" w:line="360" w:lineRule="auto"/>
        <w:ind w:left="851"/>
        <w:rPr>
          <w:rFonts w:eastAsia="楷体_GB2312"/>
          <w:b/>
          <w:bCs/>
          <w:i/>
          <w:color w:val="FF0000"/>
          <w:sz w:val="24"/>
        </w:rPr>
      </w:pPr>
      <w:r>
        <w:rPr>
          <w:rFonts w:eastAsia="楷体_GB2312"/>
          <w:b/>
          <w:bCs/>
          <w:i/>
          <w:color w:val="FF0000"/>
          <w:sz w:val="24"/>
        </w:rPr>
        <w:t>【注：</w:t>
      </w:r>
      <w:r>
        <w:rPr>
          <w:rFonts w:eastAsia="楷体_GB2312"/>
          <w:b/>
          <w:bCs/>
          <w:i/>
          <w:iCs/>
          <w:color w:val="FF0000"/>
          <w:sz w:val="24"/>
        </w:rPr>
        <w:t>“费用支出”根据项目的实际情况确定和调整</w:t>
      </w:r>
      <w:r>
        <w:rPr>
          <w:rFonts w:eastAsia="楷体_GB2312"/>
          <w:b/>
          <w:bCs/>
          <w:i/>
          <w:color w:val="FF0000"/>
          <w:sz w:val="24"/>
        </w:rPr>
        <w:t>。】</w:t>
      </w:r>
    </w:p>
    <w:p w14:paraId="339D6038">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bCs/>
          <w:sz w:val="24"/>
        </w:rPr>
        <w:t>承销报酬：</w:t>
      </w:r>
      <w:r>
        <w:rPr>
          <w:rFonts w:eastAsia="楷体_GB2312"/>
          <w:sz w:val="24"/>
        </w:rPr>
        <w:t>系指“主承销商”提供“资产支持证券”（不含“发起机构”自持的“资产支持证券”）的承销服务而获取的对价。“承销报酬”包含【“牵头主承销商”的牵头费（如有）、“主承销商”的主承销费以及“主承销商”向“承销团”各成员支付的承销佣金】。</w:t>
      </w:r>
    </w:p>
    <w:p w14:paraId="37812022">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bCs/>
          <w:sz w:val="24"/>
        </w:rPr>
        <w:t>发行费用：</w:t>
      </w:r>
      <w:r>
        <w:rPr>
          <w:rFonts w:eastAsia="楷体_GB2312"/>
          <w:sz w:val="24"/>
        </w:rPr>
        <w:t>包括“资产支持证券”发行登记服务费、“承销报酬”、“评级机构”提供初始评级服务的报酬、委托“法律顾问”、“评估机构”和“会计顾问/税务顾问”进行尽职调查以及出具专业意见所应付的报酬、委托“财务顾问”提供有关服务所应付的报酬，以及为“资产支持证券”发行之目的发生的资金汇划费及其他费用（如有）。“发行费用”由“信托财产”承担。</w:t>
      </w:r>
    </w:p>
    <w:p w14:paraId="6FBA7F62">
      <w:pPr>
        <w:tabs>
          <w:tab w:val="left" w:pos="425"/>
          <w:tab w:val="left" w:pos="851"/>
          <w:tab w:val="left" w:pos="2763"/>
        </w:tabs>
        <w:spacing w:before="156" w:beforeLines="50" w:after="156" w:afterLines="50" w:line="360" w:lineRule="auto"/>
        <w:ind w:left="851"/>
        <w:rPr>
          <w:rFonts w:eastAsia="楷体_GB2312"/>
          <w:b/>
          <w:bCs/>
          <w:i/>
          <w:color w:val="FF0000"/>
          <w:sz w:val="24"/>
        </w:rPr>
      </w:pPr>
      <w:r>
        <w:rPr>
          <w:rFonts w:eastAsia="楷体_GB2312"/>
          <w:b/>
          <w:bCs/>
          <w:i/>
          <w:color w:val="FF0000"/>
          <w:sz w:val="24"/>
        </w:rPr>
        <w:t>【注：</w:t>
      </w:r>
      <w:r>
        <w:rPr>
          <w:rFonts w:eastAsia="楷体_GB2312"/>
          <w:b/>
          <w:bCs/>
          <w:i/>
          <w:iCs/>
          <w:color w:val="FF0000"/>
          <w:sz w:val="24"/>
        </w:rPr>
        <w:t>“发行费用”的承担方式根据项目的实际情况确定和调整。</w:t>
      </w:r>
      <w:r>
        <w:rPr>
          <w:rFonts w:eastAsia="楷体_GB2312"/>
          <w:b/>
          <w:bCs/>
          <w:i/>
          <w:color w:val="FF0000"/>
          <w:sz w:val="24"/>
        </w:rPr>
        <w:t>】</w:t>
      </w:r>
    </w:p>
    <w:p w14:paraId="60B5B3EF">
      <w:pPr>
        <w:numPr>
          <w:ilvl w:val="1"/>
          <w:numId w:val="5"/>
        </w:numPr>
        <w:tabs>
          <w:tab w:val="left" w:pos="851"/>
          <w:tab w:val="clear" w:pos="720"/>
        </w:tabs>
        <w:spacing w:before="156" w:beforeLines="50" w:after="156" w:afterLines="50" w:line="360" w:lineRule="auto"/>
        <w:ind w:left="851" w:hanging="851"/>
        <w:rPr>
          <w:rFonts w:eastAsia="楷体_GB2312"/>
          <w:kern w:val="0"/>
          <w:sz w:val="24"/>
        </w:rPr>
      </w:pPr>
      <w:r>
        <w:rPr>
          <w:rFonts w:eastAsia="楷体_GB2312"/>
          <w:b/>
          <w:bCs/>
          <w:kern w:val="0"/>
          <w:sz w:val="24"/>
        </w:rPr>
        <w:t>资产服务费</w:t>
      </w:r>
      <w:r>
        <w:rPr>
          <w:rFonts w:eastAsia="楷体_GB2312"/>
          <w:kern w:val="0"/>
          <w:sz w:val="24"/>
        </w:rPr>
        <w:t>：系指根据“《服务合同》”、“收费文件”的约定，“贷款服务机构”为“资产池”提供资产管理、处置服务而由“受托机构”向“贷款服务机构”支付的报酬。</w:t>
      </w:r>
    </w:p>
    <w:p w14:paraId="35C4AFDE">
      <w:pPr>
        <w:tabs>
          <w:tab w:val="left" w:pos="425"/>
          <w:tab w:val="left" w:pos="720"/>
          <w:tab w:val="left" w:pos="851"/>
        </w:tabs>
        <w:spacing w:before="156" w:beforeLines="50" w:after="156" w:afterLines="50" w:line="360" w:lineRule="auto"/>
        <w:ind w:left="972"/>
        <w:rPr>
          <w:rFonts w:eastAsia="楷体_GB2312"/>
          <w:i/>
          <w:iCs/>
          <w:color w:val="FF0000"/>
          <w:kern w:val="0"/>
          <w:sz w:val="24"/>
        </w:rPr>
      </w:pPr>
      <w:r>
        <w:rPr>
          <w:rFonts w:eastAsia="楷体_GB2312"/>
          <w:b/>
          <w:bCs/>
          <w:i/>
          <w:iCs/>
          <w:color w:val="FF0000"/>
          <w:kern w:val="0"/>
          <w:sz w:val="24"/>
        </w:rPr>
        <w:t>【注：贷款服务机构获得的报酬或费用，可结合项目实际情况予以调整。】</w:t>
      </w:r>
    </w:p>
    <w:p w14:paraId="559B9B88">
      <w:pPr>
        <w:numPr>
          <w:ilvl w:val="1"/>
          <w:numId w:val="5"/>
        </w:numPr>
        <w:tabs>
          <w:tab w:val="left" w:pos="851"/>
          <w:tab w:val="clear" w:pos="720"/>
        </w:tabs>
        <w:spacing w:before="156" w:beforeLines="50" w:after="156" w:afterLines="50" w:line="360" w:lineRule="auto"/>
        <w:ind w:left="851" w:hanging="851"/>
        <w:rPr>
          <w:rFonts w:eastAsia="楷体_GB2312"/>
          <w:kern w:val="0"/>
          <w:sz w:val="24"/>
        </w:rPr>
      </w:pPr>
      <w:r>
        <w:rPr>
          <w:rFonts w:eastAsia="楷体_GB2312"/>
          <w:b/>
          <w:bCs/>
          <w:kern w:val="0"/>
          <w:sz w:val="24"/>
        </w:rPr>
        <w:t>流动性储备金限额：</w:t>
      </w:r>
      <w:r>
        <w:rPr>
          <w:rFonts w:eastAsia="楷体_GB2312"/>
          <w:kern w:val="0"/>
          <w:sz w:val="24"/>
        </w:rPr>
        <w:t>系指“储备金账”内应当储备的金额上限，计算方式如下：</w:t>
      </w:r>
    </w:p>
    <w:p w14:paraId="4DAA9FF9">
      <w:pPr>
        <w:numPr>
          <w:ilvl w:val="0"/>
          <w:numId w:val="25"/>
        </w:numPr>
        <w:spacing w:before="156" w:beforeLines="50" w:after="156" w:afterLines="50" w:line="360" w:lineRule="auto"/>
        <w:rPr>
          <w:rFonts w:eastAsia="楷体_GB2312"/>
          <w:kern w:val="0"/>
          <w:sz w:val="24"/>
        </w:rPr>
      </w:pPr>
      <w:r>
        <w:rPr>
          <w:rFonts w:eastAsia="楷体_GB2312"/>
          <w:kern w:val="0"/>
          <w:sz w:val="24"/>
        </w:rPr>
        <w:t>在“违约事件”或“信托终止日”发生前且“优先级资产支持证券”尚未清偿完毕的情形下，在每个“信托利益核算日”计算得出的“流动性储备金限额”为【】。</w:t>
      </w:r>
    </w:p>
    <w:p w14:paraId="25C7FF0E">
      <w:pPr>
        <w:numPr>
          <w:ilvl w:val="0"/>
          <w:numId w:val="25"/>
        </w:numPr>
        <w:spacing w:before="156" w:beforeLines="50" w:after="156" w:afterLines="50" w:line="360" w:lineRule="auto"/>
        <w:rPr>
          <w:rFonts w:eastAsia="楷体_GB2312"/>
          <w:kern w:val="0"/>
          <w:sz w:val="24"/>
          <w:lang w:val="en-GB"/>
        </w:rPr>
      </w:pPr>
      <w:r>
        <w:rPr>
          <w:rFonts w:eastAsia="楷体_GB2312"/>
          <w:kern w:val="0"/>
          <w:sz w:val="24"/>
        </w:rPr>
        <w:t>如发生“违约</w:t>
      </w:r>
      <w:r>
        <w:rPr>
          <w:rFonts w:eastAsia="楷体_GB2312"/>
          <w:kern w:val="0"/>
          <w:sz w:val="24"/>
          <w:lang w:val="en-GB"/>
        </w:rPr>
        <w:t>事件”或“信托”终止或“优先级资产支持证券”清偿完毕，则“流动性储备金限额”为零。</w:t>
      </w:r>
    </w:p>
    <w:p w14:paraId="04908FA3">
      <w:pPr>
        <w:tabs>
          <w:tab w:val="left" w:pos="425"/>
          <w:tab w:val="left" w:pos="851"/>
          <w:tab w:val="left" w:pos="2763"/>
        </w:tabs>
        <w:spacing w:before="156" w:beforeLines="50" w:after="156" w:afterLines="50" w:line="360" w:lineRule="auto"/>
        <w:ind w:left="851"/>
        <w:rPr>
          <w:rFonts w:eastAsia="楷体_GB2312"/>
          <w:b/>
          <w:bCs/>
          <w:i/>
          <w:color w:val="FF0000"/>
          <w:sz w:val="24"/>
        </w:rPr>
      </w:pPr>
      <w:r>
        <w:rPr>
          <w:rFonts w:eastAsia="楷体_GB2312"/>
          <w:b/>
          <w:bCs/>
          <w:i/>
          <w:color w:val="FF0000"/>
          <w:sz w:val="24"/>
        </w:rPr>
        <w:t>【注：流动性储备金限额可根据项目具体情况调整；如不设置储备金账，则删除本定义及其他相关条款。】</w:t>
      </w:r>
    </w:p>
    <w:p w14:paraId="38E301A2">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赎回：</w:t>
      </w:r>
      <w:r>
        <w:rPr>
          <w:rFonts w:eastAsia="楷体_GB2312"/>
          <w:sz w:val="24"/>
        </w:rPr>
        <w:t>系指在“信托期限”内，如“委托人”、“受托人”或者“贷款服务机构”发现作为“信托财产”的“信贷资产”在“初始起算日”或“信托财产交付日”不符合“资产保证”或其他属于“不合格信贷资产”的情形，“委托人”或“贷款服务机构”应在发现“不合格信贷资产”后【】个“工作日”内通知“受托人”，“受托人”有权按照“《信托合同》”的</w:t>
      </w:r>
      <w:r>
        <w:rPr>
          <w:rFonts w:eastAsia="楷体_GB2312"/>
          <w:bCs/>
          <w:sz w:val="24"/>
        </w:rPr>
        <w:t>约</w:t>
      </w:r>
      <w:r>
        <w:rPr>
          <w:rFonts w:eastAsia="楷体_GB2312"/>
          <w:sz w:val="24"/>
        </w:rPr>
        <w:t>定通知“委托人”对前述“不合格信贷资产”予以“赎回”。</w:t>
      </w:r>
    </w:p>
    <w:p w14:paraId="77C27E23">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抵销：</w:t>
      </w:r>
      <w:r>
        <w:rPr>
          <w:rFonts w:eastAsia="楷体_GB2312"/>
          <w:sz w:val="24"/>
        </w:rPr>
        <w:t>系指“借款人”依据“中国法律”行使抵销权且被抵销债权属于“委托人”已交付设立“信托”的“信托财产”。</w:t>
      </w:r>
    </w:p>
    <w:p w14:paraId="7B6E0032">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清仓回购：</w:t>
      </w:r>
      <w:r>
        <w:rPr>
          <w:rFonts w:eastAsia="楷体_GB2312"/>
          <w:sz w:val="24"/>
        </w:rPr>
        <w:t>系指“委托人”根据“《信托合同》”的</w:t>
      </w:r>
      <w:r>
        <w:rPr>
          <w:rFonts w:eastAsia="楷体_GB2312"/>
          <w:bCs/>
          <w:sz w:val="24"/>
        </w:rPr>
        <w:t>约</w:t>
      </w:r>
      <w:r>
        <w:rPr>
          <w:rFonts w:eastAsia="楷体_GB2312"/>
          <w:sz w:val="24"/>
        </w:rPr>
        <w:t>定回购届时“信托”项下的剩余全部“资产池”，是“委托人”的一项选择权。</w:t>
      </w:r>
    </w:p>
    <w:p w14:paraId="460A6531">
      <w:pPr>
        <w:pStyle w:val="6"/>
        <w:numPr>
          <w:ilvl w:val="0"/>
          <w:numId w:val="3"/>
        </w:numPr>
        <w:spacing w:before="156" w:beforeLines="50" w:after="156" w:afterLines="50" w:line="360" w:lineRule="auto"/>
        <w:ind w:leftChars="0"/>
        <w:outlineLvl w:val="1"/>
        <w:rPr>
          <w:rFonts w:eastAsia="楷体_GB2312"/>
          <w:sz w:val="24"/>
        </w:rPr>
      </w:pPr>
      <w:r>
        <w:rPr>
          <w:rFonts w:eastAsia="楷体_GB2312"/>
          <w:b/>
          <w:color w:val="000000" w:themeColor="text1"/>
          <w:sz w:val="24"/>
          <w14:textFill>
            <w14:solidFill>
              <w14:schemeClr w14:val="tx1"/>
            </w14:solidFill>
          </w14:textFill>
        </w:rPr>
        <w:t>与资产支持证券持有人大会相关的定义</w:t>
      </w:r>
    </w:p>
    <w:p w14:paraId="17D8D95A">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color w:val="000000"/>
          <w:sz w:val="24"/>
        </w:rPr>
        <w:t>资产</w:t>
      </w:r>
      <w:r>
        <w:rPr>
          <w:rFonts w:eastAsia="楷体_GB2312"/>
          <w:b/>
          <w:sz w:val="24"/>
        </w:rPr>
        <w:t>支持证券持有人大会：</w:t>
      </w:r>
      <w:r>
        <w:rPr>
          <w:rFonts w:eastAsia="楷体_GB2312"/>
          <w:sz w:val="24"/>
        </w:rPr>
        <w:t>系指按照“《信托合同》”的</w:t>
      </w:r>
      <w:r>
        <w:rPr>
          <w:rFonts w:eastAsia="楷体_GB2312"/>
          <w:bCs/>
          <w:sz w:val="24"/>
        </w:rPr>
        <w:t>约</w:t>
      </w:r>
      <w:r>
        <w:rPr>
          <w:rFonts w:eastAsia="楷体_GB2312"/>
          <w:sz w:val="24"/>
        </w:rPr>
        <w:t>定召集并召开“资产支持证券持有人”的会议。</w:t>
      </w:r>
    </w:p>
    <w:p w14:paraId="75170F49">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sz w:val="24"/>
        </w:rPr>
        <w:t>全体同意事项：</w:t>
      </w:r>
      <w:r>
        <w:rPr>
          <w:rFonts w:eastAsia="楷体_GB2312"/>
          <w:sz w:val="24"/>
        </w:rPr>
        <w:t>系指必须经全体“资产支持证券持有人”一致同意后方可通过的事项。</w:t>
      </w:r>
    </w:p>
    <w:p w14:paraId="10B24933">
      <w:pPr>
        <w:tabs>
          <w:tab w:val="left" w:pos="425"/>
          <w:tab w:val="left" w:pos="851"/>
        </w:tabs>
        <w:spacing w:before="156" w:beforeLines="50" w:after="156" w:afterLines="50" w:line="360" w:lineRule="auto"/>
        <w:ind w:left="851"/>
        <w:rPr>
          <w:rFonts w:eastAsia="楷体_GB2312"/>
          <w:sz w:val="24"/>
        </w:rPr>
      </w:pPr>
      <w:r>
        <w:rPr>
          <w:rFonts w:eastAsia="楷体_GB2312"/>
          <w:b/>
          <w:i/>
          <w:iCs/>
          <w:color w:val="FF0000"/>
          <w:sz w:val="24"/>
        </w:rPr>
        <w:t>【注：全体同意事项表述可根据具体项目情况调整。】</w:t>
      </w:r>
    </w:p>
    <w:p w14:paraId="22AEEFBD">
      <w:pPr>
        <w:numPr>
          <w:ilvl w:val="1"/>
          <w:numId w:val="5"/>
        </w:numPr>
        <w:tabs>
          <w:tab w:val="left" w:pos="851"/>
          <w:tab w:val="clear" w:pos="720"/>
        </w:tabs>
        <w:spacing w:before="156" w:beforeLines="50" w:after="156" w:afterLines="50" w:line="360" w:lineRule="auto"/>
        <w:ind w:left="851" w:hanging="851"/>
        <w:rPr>
          <w:rFonts w:eastAsia="楷体_GB2312"/>
          <w:b/>
          <w:sz w:val="24"/>
        </w:rPr>
      </w:pPr>
      <w:r>
        <w:rPr>
          <w:rFonts w:eastAsia="楷体_GB2312"/>
          <w:b/>
          <w:sz w:val="24"/>
        </w:rPr>
        <w:t>特别决议事项：</w:t>
      </w:r>
      <w:r>
        <w:rPr>
          <w:rFonts w:eastAsia="楷体_GB2312"/>
          <w:kern w:val="0"/>
          <w:sz w:val="24"/>
        </w:rPr>
        <w:t>对</w:t>
      </w:r>
      <w:r>
        <w:rPr>
          <w:rFonts w:eastAsia="楷体_GB2312"/>
          <w:sz w:val="24"/>
        </w:rPr>
        <w:t>每一类别的“资产支持证券持有人”组成的“资产支持证券持有人大会”而言，系指</w:t>
      </w:r>
      <w:r>
        <w:rPr>
          <w:rFonts w:eastAsia="楷体_GB2312"/>
          <w:kern w:val="0"/>
          <w:sz w:val="24"/>
        </w:rPr>
        <w:t>必须</w:t>
      </w:r>
      <w:r>
        <w:rPr>
          <w:rFonts w:eastAsia="楷体_GB2312"/>
          <w:sz w:val="24"/>
        </w:rPr>
        <w:t>经单独或合计持有本类别“资产支持证券”“未偿本金余额”【】%以上的“资产支持证券持有人”出席，</w:t>
      </w:r>
      <w:r>
        <w:rPr>
          <w:rFonts w:eastAsia="楷体_GB2312"/>
          <w:kern w:val="0"/>
          <w:sz w:val="24"/>
        </w:rPr>
        <w:t>且经出席</w:t>
      </w:r>
      <w:r>
        <w:rPr>
          <w:rFonts w:eastAsia="楷体_GB2312"/>
          <w:sz w:val="24"/>
        </w:rPr>
        <w:t>“资产支持证券持有人”表决权总数的【】</w:t>
      </w:r>
      <w:r>
        <w:rPr>
          <w:rFonts w:eastAsia="楷体_GB2312"/>
          <w:kern w:val="0"/>
          <w:sz w:val="24"/>
        </w:rPr>
        <w:t>%以上同意方可通过的事项。</w:t>
      </w:r>
    </w:p>
    <w:p w14:paraId="2C2FE0B5">
      <w:pPr>
        <w:tabs>
          <w:tab w:val="left" w:pos="425"/>
          <w:tab w:val="left" w:pos="851"/>
        </w:tabs>
        <w:spacing w:before="156" w:beforeLines="50" w:after="156" w:afterLines="50" w:line="360" w:lineRule="auto"/>
        <w:ind w:left="851"/>
        <w:rPr>
          <w:rFonts w:eastAsia="楷体_GB2312"/>
          <w:b/>
          <w:sz w:val="24"/>
        </w:rPr>
      </w:pPr>
      <w:r>
        <w:rPr>
          <w:rFonts w:eastAsia="楷体_GB2312"/>
          <w:b/>
          <w:i/>
          <w:iCs/>
          <w:color w:val="FF0000"/>
          <w:sz w:val="24"/>
        </w:rPr>
        <w:t>【注：特别决议事项表述可根据具体项目情况调整。】</w:t>
      </w:r>
    </w:p>
    <w:p w14:paraId="43CC3853">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color w:val="000000"/>
          <w:sz w:val="24"/>
        </w:rPr>
        <w:t>普通</w:t>
      </w:r>
      <w:r>
        <w:rPr>
          <w:rFonts w:eastAsia="楷体_GB2312"/>
          <w:b/>
          <w:sz w:val="24"/>
        </w:rPr>
        <w:t>决议事项：</w:t>
      </w:r>
      <w:r>
        <w:rPr>
          <w:rFonts w:eastAsia="楷体_GB2312"/>
          <w:kern w:val="0"/>
          <w:sz w:val="24"/>
        </w:rPr>
        <w:t>对</w:t>
      </w:r>
      <w:r>
        <w:rPr>
          <w:rFonts w:eastAsia="楷体_GB2312"/>
          <w:sz w:val="24"/>
        </w:rPr>
        <w:t>每一类别的“资产支持证券持有人”组成的“资产支持证券持有人大会”而言，系指</w:t>
      </w:r>
      <w:r>
        <w:rPr>
          <w:rFonts w:eastAsia="楷体_GB2312"/>
          <w:kern w:val="0"/>
          <w:sz w:val="24"/>
        </w:rPr>
        <w:t>必须</w:t>
      </w:r>
      <w:r>
        <w:rPr>
          <w:rFonts w:eastAsia="楷体_GB2312"/>
          <w:sz w:val="24"/>
        </w:rPr>
        <w:t>经单独或合计持有本类别“资产支持证券”“未偿本金余额”【】%以上的“资产支持证券持有人”出席，</w:t>
      </w:r>
      <w:r>
        <w:rPr>
          <w:rFonts w:eastAsia="楷体_GB2312"/>
          <w:kern w:val="0"/>
          <w:sz w:val="24"/>
        </w:rPr>
        <w:t>且经出席</w:t>
      </w:r>
      <w:r>
        <w:rPr>
          <w:rFonts w:eastAsia="楷体_GB2312"/>
          <w:sz w:val="24"/>
        </w:rPr>
        <w:t>“资产支持证券持有人”表决权总数的</w:t>
      </w:r>
      <w:r>
        <w:rPr>
          <w:rFonts w:eastAsia="楷体_GB2312"/>
          <w:kern w:val="0"/>
          <w:sz w:val="24"/>
        </w:rPr>
        <w:t>【】%以上同意方可通过的事项。</w:t>
      </w:r>
    </w:p>
    <w:p w14:paraId="0C99A751">
      <w:pPr>
        <w:tabs>
          <w:tab w:val="left" w:pos="425"/>
          <w:tab w:val="left" w:pos="851"/>
        </w:tabs>
        <w:spacing w:before="156" w:beforeLines="50" w:after="156" w:afterLines="50" w:line="360" w:lineRule="auto"/>
        <w:ind w:left="851"/>
        <w:rPr>
          <w:rFonts w:eastAsia="楷体_GB2312"/>
          <w:b/>
          <w:i/>
          <w:iCs/>
          <w:color w:val="FF0000"/>
          <w:sz w:val="24"/>
        </w:rPr>
      </w:pPr>
      <w:r>
        <w:rPr>
          <w:rFonts w:eastAsia="楷体_GB2312"/>
          <w:b/>
          <w:i/>
          <w:iCs/>
          <w:color w:val="FF0000"/>
          <w:sz w:val="24"/>
        </w:rPr>
        <w:t>【注：普通决议事项表述可根据具体项目情况调整。】</w:t>
      </w:r>
    </w:p>
    <w:p w14:paraId="7DB475C2">
      <w:pPr>
        <w:pStyle w:val="6"/>
        <w:numPr>
          <w:ilvl w:val="0"/>
          <w:numId w:val="3"/>
        </w:numPr>
        <w:spacing w:before="156" w:beforeLines="50" w:after="156" w:afterLines="50" w:line="360" w:lineRule="auto"/>
        <w:ind w:leftChars="0"/>
        <w:outlineLvl w:val="1"/>
        <w:rPr>
          <w:rFonts w:eastAsia="楷体_GB2312"/>
          <w:b/>
          <w:color w:val="000000" w:themeColor="text1"/>
          <w:sz w:val="24"/>
          <w14:textFill>
            <w14:solidFill>
              <w14:schemeClr w14:val="tx1"/>
            </w14:solidFill>
          </w14:textFill>
        </w:rPr>
      </w:pPr>
      <w:bookmarkStart w:id="60" w:name="_Toc151738950"/>
      <w:bookmarkStart w:id="61" w:name="_Toc449517373"/>
      <w:bookmarkStart w:id="62" w:name="_Toc434327097"/>
      <w:bookmarkStart w:id="63" w:name="_Toc219691439"/>
      <w:bookmarkStart w:id="64" w:name="_Toc219708140"/>
      <w:bookmarkStart w:id="65" w:name="_Toc221090570"/>
      <w:r>
        <w:rPr>
          <w:rFonts w:eastAsia="楷体_GB2312"/>
          <w:b/>
          <w:color w:val="000000" w:themeColor="text1"/>
          <w:sz w:val="24"/>
          <w14:textFill>
            <w14:solidFill>
              <w14:schemeClr w14:val="tx1"/>
            </w14:solidFill>
          </w14:textFill>
        </w:rPr>
        <w:t>资产服务与后备服务</w:t>
      </w:r>
      <w:bookmarkEnd w:id="60"/>
      <w:bookmarkEnd w:id="61"/>
      <w:bookmarkEnd w:id="62"/>
      <w:r>
        <w:rPr>
          <w:rFonts w:eastAsia="楷体_GB2312"/>
          <w:b/>
          <w:color w:val="000000" w:themeColor="text1"/>
          <w:sz w:val="24"/>
          <w14:textFill>
            <w14:solidFill>
              <w14:schemeClr w14:val="tx1"/>
            </w14:solidFill>
          </w14:textFill>
        </w:rPr>
        <w:t>相关的定义</w:t>
      </w:r>
      <w:bookmarkEnd w:id="63"/>
      <w:bookmarkEnd w:id="64"/>
      <w:bookmarkEnd w:id="65"/>
    </w:p>
    <w:p w14:paraId="0F16A18B">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color w:val="000000"/>
          <w:sz w:val="24"/>
        </w:rPr>
        <w:t>服务</w:t>
      </w:r>
      <w:r>
        <w:rPr>
          <w:rFonts w:eastAsia="楷体_GB2312"/>
          <w:b/>
          <w:bCs/>
          <w:sz w:val="24"/>
        </w:rPr>
        <w:t>：</w:t>
      </w:r>
      <w:r>
        <w:rPr>
          <w:rFonts w:eastAsia="楷体_GB2312"/>
          <w:kern w:val="0"/>
          <w:sz w:val="24"/>
        </w:rPr>
        <w:t>系指“《服务合同》”【</w:t>
      </w:r>
      <w:r>
        <w:rPr>
          <w:rFonts w:eastAsia="楷体_GB2312"/>
          <w:sz w:val="24"/>
        </w:rPr>
        <w:t>附件</w:t>
      </w:r>
      <w:r>
        <w:rPr>
          <w:rFonts w:eastAsia="楷体_GB2312"/>
          <w:kern w:val="0"/>
          <w:sz w:val="24"/>
        </w:rPr>
        <w:t>一】中</w:t>
      </w:r>
      <w:r>
        <w:rPr>
          <w:rFonts w:eastAsia="楷体_GB2312"/>
          <w:bCs/>
          <w:sz w:val="24"/>
        </w:rPr>
        <w:t>约</w:t>
      </w:r>
      <w:r>
        <w:rPr>
          <w:rFonts w:eastAsia="楷体_GB2312"/>
          <w:kern w:val="0"/>
          <w:sz w:val="24"/>
        </w:rPr>
        <w:t>定的由“贷款服务机构”根据“《服务合同》”提供的特定服务。</w:t>
      </w:r>
    </w:p>
    <w:p w14:paraId="724013F4">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color w:val="000000"/>
          <w:sz w:val="24"/>
        </w:rPr>
        <w:t>后备</w:t>
      </w:r>
      <w:r>
        <w:rPr>
          <w:rFonts w:eastAsia="楷体_GB2312"/>
          <w:b/>
          <w:bCs/>
          <w:sz w:val="24"/>
        </w:rPr>
        <w:t>服务：</w:t>
      </w:r>
      <w:r>
        <w:rPr>
          <w:rFonts w:eastAsia="楷体_GB2312"/>
          <w:kern w:val="0"/>
          <w:sz w:val="24"/>
        </w:rPr>
        <w:t>系指“</w:t>
      </w:r>
      <w:r>
        <w:rPr>
          <w:rFonts w:eastAsia="楷体_GB2312"/>
          <w:sz w:val="24"/>
        </w:rPr>
        <w:t>《服务合同》</w:t>
      </w:r>
      <w:r>
        <w:rPr>
          <w:rFonts w:eastAsia="楷体_GB2312"/>
          <w:kern w:val="0"/>
          <w:sz w:val="24"/>
        </w:rPr>
        <w:t>”【附件二A部分】中</w:t>
      </w:r>
      <w:r>
        <w:rPr>
          <w:rFonts w:eastAsia="楷体_GB2312"/>
          <w:bCs/>
          <w:sz w:val="24"/>
        </w:rPr>
        <w:t>约</w:t>
      </w:r>
      <w:r>
        <w:rPr>
          <w:rFonts w:eastAsia="楷体_GB2312"/>
          <w:kern w:val="0"/>
          <w:sz w:val="24"/>
        </w:rPr>
        <w:t>定的将由“后备贷款服务机构”按照“《服务合同》”提供的特定服务。</w:t>
      </w:r>
    </w:p>
    <w:p w14:paraId="1F4A7C44">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color w:val="000000"/>
          <w:sz w:val="24"/>
        </w:rPr>
        <w:t>贷款</w:t>
      </w:r>
      <w:r>
        <w:rPr>
          <w:rFonts w:eastAsia="楷体_GB2312"/>
          <w:b/>
          <w:bCs/>
          <w:sz w:val="24"/>
        </w:rPr>
        <w:t>服务移交方案：</w:t>
      </w:r>
      <w:r>
        <w:rPr>
          <w:rFonts w:eastAsia="楷体_GB2312"/>
          <w:sz w:val="24"/>
        </w:rPr>
        <w:t>系指“贷款服务机构”根据“《服务合同》”将“服务”移交至“后备贷款服务机构”或“替代贷款服务机构”的方案。</w:t>
      </w:r>
    </w:p>
    <w:p w14:paraId="078E03AA">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color w:val="000000"/>
          <w:sz w:val="24"/>
        </w:rPr>
        <w:t>账户</w:t>
      </w:r>
      <w:r>
        <w:rPr>
          <w:rFonts w:eastAsia="楷体_GB2312"/>
          <w:b/>
          <w:bCs/>
          <w:sz w:val="24"/>
        </w:rPr>
        <w:t>记录：</w:t>
      </w:r>
      <w:r>
        <w:rPr>
          <w:rFonts w:eastAsia="楷体_GB2312"/>
          <w:sz w:val="24"/>
        </w:rPr>
        <w:t>就一项“信贷资产”而言，系指在“信托财产交付日”前由“委托人”或其代理人，或在“信托财产交付日”后由“贷款服务机构”或其代理人，持有或维护的、为支持或担保该等“信贷资产”偿付的或与该等“信贷资产”有关的、以实物形式或电子形式存在的所有文档、表单、凭证和其他任何性质的协议，包括但不限于【“《借款合同》”、“《担保合同》”及“附属权益”证明文件、“贷款”调查审批文件或记录（如有）、借款申请审核文件或记录（如有）、借款支用凭证、还款记录和凭证、“收款期间”的有关还款、催收记录和凭证、“贷款服务机构”为提供“服务”而支出的费用的记录、凭证等】。</w:t>
      </w:r>
    </w:p>
    <w:p w14:paraId="6E2F44C1">
      <w:pPr>
        <w:tabs>
          <w:tab w:val="left" w:pos="851"/>
        </w:tabs>
        <w:spacing w:before="156" w:beforeLines="50" w:after="156" w:afterLines="50" w:line="360" w:lineRule="auto"/>
        <w:ind w:firstLine="840"/>
        <w:rPr>
          <w:rFonts w:eastAsia="楷体_GB2312"/>
          <w:b/>
          <w:bCs/>
          <w:i/>
          <w:iCs/>
          <w:color w:val="FF0000"/>
          <w:sz w:val="24"/>
        </w:rPr>
      </w:pPr>
      <w:r>
        <w:rPr>
          <w:rFonts w:eastAsia="楷体_GB2312"/>
          <w:b/>
          <w:bCs/>
          <w:i/>
          <w:iCs/>
          <w:color w:val="FF0000"/>
          <w:sz w:val="24"/>
        </w:rPr>
        <w:t>【注：账户记录范围可根据具体项目调整。】</w:t>
      </w:r>
    </w:p>
    <w:p w14:paraId="266DA291">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color w:val="000000"/>
          <w:sz w:val="24"/>
        </w:rPr>
        <w:t>数据</w:t>
      </w:r>
      <w:r>
        <w:rPr>
          <w:rFonts w:eastAsia="楷体_GB2312"/>
          <w:b/>
          <w:bCs/>
          <w:sz w:val="24"/>
        </w:rPr>
        <w:t>文件夹：</w:t>
      </w:r>
      <w:r>
        <w:rPr>
          <w:rFonts w:eastAsia="楷体_GB2312"/>
          <w:sz w:val="24"/>
        </w:rPr>
        <w:t>系指在“受托人”委任“后备贷款服务机构”之后，由“贷款服务机构”整理并递交给“受托人”和“后备贷款服务机构”的“信贷资产”信息数据文档，该文档以为</w:t>
      </w:r>
      <w:r>
        <w:rPr>
          <w:rFonts w:eastAsia="楷体_GB2312"/>
          <w:bCs/>
          <w:sz w:val="24"/>
        </w:rPr>
        <w:t>“信贷资产”</w:t>
      </w:r>
      <w:r>
        <w:rPr>
          <w:rFonts w:eastAsia="楷体_GB2312"/>
          <w:sz w:val="24"/>
        </w:rPr>
        <w:t>提供“服务”为目的。</w:t>
      </w:r>
    </w:p>
    <w:p w14:paraId="5702514B">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color w:val="000000"/>
          <w:sz w:val="24"/>
        </w:rPr>
        <w:t>信贷</w:t>
      </w:r>
      <w:r>
        <w:rPr>
          <w:rFonts w:eastAsia="楷体_GB2312"/>
          <w:b/>
          <w:bCs/>
          <w:sz w:val="24"/>
        </w:rPr>
        <w:t>资产数据报告：</w:t>
      </w:r>
      <w:r>
        <w:rPr>
          <w:rFonts w:eastAsia="楷体_GB2312"/>
          <w:sz w:val="24"/>
        </w:rPr>
        <w:t>系指由“后备贷款服务机构”根据“《服务合同》”的</w:t>
      </w:r>
      <w:r>
        <w:rPr>
          <w:rFonts w:eastAsia="楷体_GB2312"/>
          <w:bCs/>
          <w:sz w:val="24"/>
        </w:rPr>
        <w:t>约</w:t>
      </w:r>
      <w:r>
        <w:rPr>
          <w:rFonts w:eastAsia="楷体_GB2312"/>
          <w:sz w:val="24"/>
        </w:rPr>
        <w:t>定以及“《服务合同》”【附件五】的格式，向“受托人”和“评级机构”提供的关于“信贷资产”的数据报告。</w:t>
      </w:r>
    </w:p>
    <w:p w14:paraId="0EF58211">
      <w:pPr>
        <w:numPr>
          <w:ilvl w:val="1"/>
          <w:numId w:val="5"/>
        </w:numPr>
        <w:tabs>
          <w:tab w:val="left" w:pos="851"/>
          <w:tab w:val="clear" w:pos="720"/>
        </w:tabs>
        <w:spacing w:before="156" w:beforeLines="50" w:after="156" w:afterLines="50" w:line="360" w:lineRule="auto"/>
        <w:ind w:left="851" w:hanging="851"/>
        <w:rPr>
          <w:rFonts w:eastAsia="楷体_GB2312"/>
          <w:sz w:val="24"/>
        </w:rPr>
      </w:pPr>
      <w:r>
        <w:rPr>
          <w:rFonts w:eastAsia="楷体_GB2312"/>
          <w:b/>
          <w:color w:val="000000"/>
          <w:sz w:val="24"/>
        </w:rPr>
        <w:t>分配指令：</w:t>
      </w:r>
      <w:r>
        <w:rPr>
          <w:rFonts w:eastAsia="楷体_GB2312"/>
          <w:color w:val="000000"/>
          <w:sz w:val="24"/>
        </w:rPr>
        <w:t>系指“受托人”向“资金保管机构”</w:t>
      </w:r>
      <w:r>
        <w:rPr>
          <w:rFonts w:eastAsia="楷体_GB2312"/>
          <w:sz w:val="24"/>
        </w:rPr>
        <w:t>发出的要求其在“信托账户”进行会计记账及相应分配的指令，其格式见“《资金保管合同》”【附件三】。</w:t>
      </w:r>
    </w:p>
    <w:p w14:paraId="7B8B7527">
      <w:pPr>
        <w:pStyle w:val="6"/>
        <w:numPr>
          <w:ilvl w:val="0"/>
          <w:numId w:val="3"/>
        </w:numPr>
        <w:spacing w:before="156" w:beforeLines="50" w:after="156" w:afterLines="50" w:line="360" w:lineRule="auto"/>
        <w:ind w:leftChars="0"/>
        <w:outlineLvl w:val="1"/>
        <w:rPr>
          <w:rFonts w:eastAsia="楷体_GB2312"/>
          <w:b/>
          <w:sz w:val="24"/>
        </w:rPr>
      </w:pPr>
      <w:r>
        <w:rPr>
          <w:rFonts w:eastAsia="楷体_GB2312"/>
          <w:b/>
          <w:sz w:val="24"/>
        </w:rPr>
        <w:t>其他定义</w:t>
      </w:r>
    </w:p>
    <w:p w14:paraId="301A551A">
      <w:pPr>
        <w:numPr>
          <w:ilvl w:val="1"/>
          <w:numId w:val="5"/>
        </w:numPr>
        <w:tabs>
          <w:tab w:val="left" w:pos="851"/>
          <w:tab w:val="clear" w:pos="720"/>
        </w:tabs>
        <w:spacing w:before="156" w:beforeLines="50" w:after="156" w:afterLines="50" w:line="360" w:lineRule="auto"/>
        <w:ind w:left="851" w:hanging="851"/>
        <w:rPr>
          <w:rFonts w:eastAsia="楷体_GB2312"/>
          <w:bCs/>
          <w:sz w:val="24"/>
        </w:rPr>
      </w:pPr>
      <w:r>
        <w:rPr>
          <w:rFonts w:eastAsia="楷体_GB2312"/>
          <w:b/>
          <w:bCs/>
          <w:sz w:val="24"/>
        </w:rPr>
        <w:t>中国法律：</w:t>
      </w:r>
      <w:r>
        <w:rPr>
          <w:rFonts w:eastAsia="楷体_GB2312"/>
          <w:bCs/>
          <w:sz w:val="24"/>
        </w:rPr>
        <w:t>系指中华人民共和国境内的法律、行政法规、部门规章、地方性法规以及其他规范性文件（为免歧义，就相关</w:t>
      </w:r>
      <w:r>
        <w:rPr>
          <w:rFonts w:eastAsia="楷体_GB2312"/>
          <w:sz w:val="24"/>
        </w:rPr>
        <w:t>“</w:t>
      </w:r>
      <w:r>
        <w:rPr>
          <w:rFonts w:eastAsia="楷体_GB2312"/>
          <w:bCs/>
          <w:sz w:val="24"/>
        </w:rPr>
        <w:t>交易文件</w:t>
      </w:r>
      <w:r>
        <w:rPr>
          <w:rFonts w:eastAsia="楷体_GB2312"/>
          <w:sz w:val="24"/>
        </w:rPr>
        <w:t>”</w:t>
      </w:r>
      <w:r>
        <w:rPr>
          <w:rFonts w:eastAsia="楷体_GB2312"/>
          <w:bCs/>
          <w:sz w:val="24"/>
        </w:rPr>
        <w:t>而言，不包括中国香港特别行政区、澳门特别行政区以及</w:t>
      </w:r>
      <w:r>
        <w:rPr>
          <w:rFonts w:hint="eastAsia" w:eastAsia="楷体_GB2312"/>
          <w:bCs/>
          <w:sz w:val="24"/>
        </w:rPr>
        <w:t>中国台湾地区</w:t>
      </w:r>
      <w:r>
        <w:rPr>
          <w:rFonts w:eastAsia="楷体_GB2312"/>
          <w:bCs/>
          <w:sz w:val="24"/>
        </w:rPr>
        <w:t>的法律、行政法规、部门规章、地方性法规以及其他规范性文件）。</w:t>
      </w:r>
    </w:p>
    <w:p w14:paraId="7D3F8AB4">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bCs/>
          <w:sz w:val="24"/>
        </w:rPr>
        <w:t>元：</w:t>
      </w:r>
      <w:r>
        <w:rPr>
          <w:rFonts w:eastAsia="楷体_GB2312"/>
          <w:bCs/>
          <w:sz w:val="24"/>
        </w:rPr>
        <w:t>系指人民币元。</w:t>
      </w:r>
    </w:p>
    <w:p w14:paraId="09B90771">
      <w:pPr>
        <w:numPr>
          <w:ilvl w:val="1"/>
          <w:numId w:val="5"/>
        </w:numPr>
        <w:tabs>
          <w:tab w:val="left" w:pos="851"/>
          <w:tab w:val="clear" w:pos="720"/>
        </w:tabs>
        <w:spacing w:before="156" w:beforeLines="50" w:after="156" w:afterLines="50" w:line="360" w:lineRule="auto"/>
        <w:ind w:left="851" w:hanging="851"/>
        <w:rPr>
          <w:rFonts w:eastAsia="楷体_GB2312"/>
          <w:b/>
          <w:bCs/>
          <w:sz w:val="24"/>
        </w:rPr>
      </w:pPr>
      <w:r>
        <w:rPr>
          <w:rFonts w:eastAsia="楷体_GB2312"/>
          <w:b/>
          <w:color w:val="000000"/>
          <w:sz w:val="24"/>
        </w:rPr>
        <w:t>政府</w:t>
      </w:r>
      <w:r>
        <w:rPr>
          <w:rFonts w:eastAsia="楷体_GB2312"/>
          <w:b/>
          <w:bCs/>
          <w:sz w:val="24"/>
        </w:rPr>
        <w:t>机构：</w:t>
      </w:r>
      <w:r>
        <w:rPr>
          <w:rFonts w:eastAsia="楷体_GB2312"/>
          <w:bCs/>
          <w:sz w:val="24"/>
        </w:rPr>
        <w:t>系指(a)国务院以及省、自治区、直辖市、自治州、县、自治县、市、市辖区、乡、民族乡、镇人民政府；(b)全国人民代表大会以及省、直辖市、县、市、市辖区、乡、民族乡、镇人民代表大会；(c)最高人民法院、地方各级人民法院和军事法院、铁路运输法院、海事法院等专门法院；(d)最高人民检察院、地方各级人民检察院和军事检察院、铁路运输检察院等专门检察院；(e)仲裁机构及其分支机构；(f)任何在上述机构领导下或以上述机构名义行使行政、立法、司法、管理、监管、征用和征税权力的政府授权机构和私人团体。</w:t>
      </w:r>
    </w:p>
    <w:p w14:paraId="1A5F2AD5">
      <w:pPr>
        <w:pStyle w:val="28"/>
        <w:numPr>
          <w:ilvl w:val="0"/>
          <w:numId w:val="2"/>
        </w:numPr>
        <w:spacing w:before="156" w:beforeLines="50" w:after="156" w:afterLines="50"/>
        <w:outlineLvl w:val="0"/>
        <w:rPr>
          <w:rFonts w:eastAsia="楷体_GB2312"/>
        </w:rPr>
      </w:pPr>
      <w:bookmarkStart w:id="66" w:name="_Toc149842436"/>
      <w:bookmarkStart w:id="67" w:name="_Toc510596657"/>
      <w:bookmarkStart w:id="68" w:name="_Toc173860445"/>
      <w:r>
        <w:rPr>
          <w:rFonts w:eastAsia="楷体_GB2312"/>
          <w:b/>
          <w:bCs/>
        </w:rPr>
        <w:t>法律</w:t>
      </w:r>
      <w:r>
        <w:rPr>
          <w:rFonts w:eastAsia="楷体_GB2312"/>
          <w:b/>
        </w:rPr>
        <w:t>条款</w:t>
      </w:r>
      <w:bookmarkEnd w:id="66"/>
      <w:bookmarkEnd w:id="67"/>
      <w:bookmarkEnd w:id="68"/>
    </w:p>
    <w:p w14:paraId="4FFAEA5F">
      <w:pPr>
        <w:pStyle w:val="41"/>
        <w:widowControl w:val="0"/>
        <w:spacing w:before="156" w:beforeLines="50" w:after="156" w:afterLines="50" w:line="360" w:lineRule="auto"/>
        <w:rPr>
          <w:rFonts w:eastAsia="楷体_GB2312"/>
          <w:lang w:eastAsia="zh-CN"/>
        </w:rPr>
      </w:pPr>
      <w:bookmarkStart w:id="69" w:name="_DV_M811"/>
      <w:bookmarkEnd w:id="69"/>
      <w:r>
        <w:rPr>
          <w:rFonts w:eastAsia="楷体_GB2312"/>
          <w:lang w:eastAsia="zh-CN"/>
        </w:rPr>
        <w:t>在“交易文件”中对法律条款的援引，应包括对这些法律条款的立法修订、重新立法或针对这些法律条款制订的法规或规章。</w:t>
      </w:r>
    </w:p>
    <w:p w14:paraId="67FE12CE">
      <w:pPr>
        <w:pStyle w:val="28"/>
        <w:numPr>
          <w:ilvl w:val="0"/>
          <w:numId w:val="2"/>
        </w:numPr>
        <w:spacing w:before="156" w:beforeLines="50" w:after="156" w:afterLines="50"/>
        <w:outlineLvl w:val="0"/>
        <w:rPr>
          <w:rFonts w:eastAsia="楷体_GB2312"/>
          <w:b/>
          <w:bCs/>
        </w:rPr>
      </w:pPr>
      <w:bookmarkStart w:id="70" w:name="_DV_M812"/>
      <w:bookmarkEnd w:id="70"/>
      <w:bookmarkStart w:id="71" w:name="_Toc524495441"/>
      <w:bookmarkStart w:id="72" w:name="_Toc173860446"/>
      <w:bookmarkStart w:id="73" w:name="_Toc149842437"/>
      <w:bookmarkStart w:id="74" w:name="_Toc80116304"/>
      <w:bookmarkStart w:id="75" w:name="_Toc510596658"/>
      <w:bookmarkStart w:id="76" w:name="_Toc121814285"/>
      <w:r>
        <w:rPr>
          <w:rFonts w:eastAsia="楷体_GB2312"/>
          <w:b/>
          <w:bCs/>
        </w:rPr>
        <w:t>修改</w:t>
      </w:r>
      <w:bookmarkEnd w:id="71"/>
      <w:bookmarkEnd w:id="72"/>
      <w:bookmarkEnd w:id="73"/>
      <w:bookmarkEnd w:id="74"/>
      <w:bookmarkEnd w:id="75"/>
      <w:bookmarkEnd w:id="76"/>
    </w:p>
    <w:p w14:paraId="19244FF1">
      <w:pPr>
        <w:pStyle w:val="41"/>
        <w:widowControl w:val="0"/>
        <w:spacing w:before="156" w:beforeLines="50" w:after="156" w:afterLines="50" w:line="360" w:lineRule="auto"/>
        <w:rPr>
          <w:rFonts w:eastAsia="楷体_GB2312"/>
          <w:lang w:eastAsia="zh-CN"/>
        </w:rPr>
      </w:pPr>
      <w:bookmarkStart w:id="77" w:name="_DV_M813"/>
      <w:bookmarkEnd w:id="77"/>
      <w:r>
        <w:rPr>
          <w:rFonts w:eastAsia="楷体_GB2312"/>
          <w:lang w:eastAsia="zh-CN"/>
        </w:rPr>
        <w:t>在“交易文件”中对其他“交易文件”以及协议、契约或文件的援引（包括本“《主定义表》”和“交易文件”的附件），应包括对该“交易文件”、协议、契约或文件（部分或全部）的修订、补充、确认、取代或更新以及据此签署的协议、契约或文件。</w:t>
      </w:r>
      <w:bookmarkStart w:id="78" w:name="_DV_M814"/>
      <w:bookmarkEnd w:id="78"/>
      <w:bookmarkStart w:id="79" w:name="_Toc80116305"/>
      <w:bookmarkStart w:id="80" w:name="_Toc524495442"/>
    </w:p>
    <w:p w14:paraId="211B81A2">
      <w:pPr>
        <w:pStyle w:val="28"/>
        <w:numPr>
          <w:ilvl w:val="0"/>
          <w:numId w:val="2"/>
        </w:numPr>
        <w:spacing w:before="156" w:beforeLines="50" w:after="156" w:afterLines="50"/>
        <w:outlineLvl w:val="0"/>
        <w:rPr>
          <w:rFonts w:eastAsia="楷体_GB2312"/>
          <w:b/>
          <w:bCs/>
        </w:rPr>
      </w:pPr>
      <w:bookmarkStart w:id="81" w:name="_Toc149842438"/>
      <w:bookmarkStart w:id="82" w:name="_Toc173860447"/>
      <w:bookmarkStart w:id="83" w:name="_Toc121814286"/>
      <w:bookmarkStart w:id="84" w:name="_Toc510596659"/>
      <w:r>
        <w:rPr>
          <w:rFonts w:eastAsia="楷体_GB2312"/>
          <w:b/>
          <w:bCs/>
        </w:rPr>
        <w:t>条款</w:t>
      </w:r>
      <w:bookmarkEnd w:id="79"/>
      <w:bookmarkEnd w:id="80"/>
      <w:bookmarkEnd w:id="81"/>
      <w:bookmarkEnd w:id="82"/>
      <w:bookmarkEnd w:id="83"/>
      <w:bookmarkEnd w:id="84"/>
    </w:p>
    <w:p w14:paraId="3748D65B">
      <w:pPr>
        <w:pStyle w:val="41"/>
        <w:widowControl w:val="0"/>
        <w:spacing w:before="156" w:beforeLines="50" w:after="156" w:afterLines="50" w:line="360" w:lineRule="auto"/>
        <w:rPr>
          <w:rFonts w:eastAsia="楷体_GB2312"/>
          <w:lang w:eastAsia="zh-CN"/>
        </w:rPr>
      </w:pPr>
      <w:bookmarkStart w:id="85" w:name="_DV_M815"/>
      <w:bookmarkEnd w:id="85"/>
      <w:r>
        <w:rPr>
          <w:rFonts w:eastAsia="楷体_GB2312"/>
          <w:lang w:eastAsia="zh-CN"/>
        </w:rPr>
        <w:t>除非上下文另有</w:t>
      </w:r>
      <w:r>
        <w:rPr>
          <w:rFonts w:eastAsia="楷体_GB2312"/>
          <w:bCs/>
          <w:lang w:eastAsia="zh-CN"/>
        </w:rPr>
        <w:t>约</w:t>
      </w:r>
      <w:r>
        <w:rPr>
          <w:rFonts w:eastAsia="楷体_GB2312"/>
          <w:lang w:eastAsia="zh-CN"/>
        </w:rPr>
        <w:t>定，“交易文件”中提及的条款和附件均指该文件的相应条款、附表和附件，提及的段落应指该段落所体现的条款。</w:t>
      </w:r>
    </w:p>
    <w:p w14:paraId="005424DF">
      <w:pPr>
        <w:pStyle w:val="28"/>
        <w:numPr>
          <w:ilvl w:val="0"/>
          <w:numId w:val="2"/>
        </w:numPr>
        <w:spacing w:before="156" w:beforeLines="50" w:after="156" w:afterLines="50"/>
        <w:outlineLvl w:val="0"/>
        <w:rPr>
          <w:rFonts w:eastAsia="楷体_GB2312"/>
        </w:rPr>
      </w:pPr>
      <w:bookmarkStart w:id="86" w:name="_DV_M816"/>
      <w:bookmarkEnd w:id="86"/>
      <w:bookmarkStart w:id="87" w:name="_Toc173860448"/>
      <w:bookmarkStart w:id="88" w:name="_Toc121814287"/>
      <w:bookmarkStart w:id="89" w:name="_Toc510596660"/>
      <w:bookmarkStart w:id="90" w:name="_Toc149842439"/>
      <w:bookmarkStart w:id="91" w:name="_Toc80116306"/>
      <w:bookmarkStart w:id="92" w:name="_Toc524495443"/>
      <w:r>
        <w:rPr>
          <w:rFonts w:eastAsia="楷体_GB2312"/>
          <w:b/>
          <w:bCs/>
        </w:rPr>
        <w:t>附件</w:t>
      </w:r>
      <w:bookmarkEnd w:id="87"/>
      <w:bookmarkEnd w:id="88"/>
      <w:bookmarkEnd w:id="89"/>
      <w:bookmarkEnd w:id="90"/>
      <w:bookmarkEnd w:id="91"/>
      <w:bookmarkEnd w:id="92"/>
    </w:p>
    <w:p w14:paraId="37174140">
      <w:pPr>
        <w:pStyle w:val="41"/>
        <w:widowControl w:val="0"/>
        <w:spacing w:before="156" w:beforeLines="50" w:after="156" w:afterLines="50" w:line="360" w:lineRule="auto"/>
        <w:rPr>
          <w:rFonts w:eastAsia="楷体_GB2312"/>
          <w:lang w:eastAsia="zh-CN"/>
        </w:rPr>
      </w:pPr>
      <w:bookmarkStart w:id="93" w:name="_DV_M817"/>
      <w:bookmarkEnd w:id="93"/>
      <w:r>
        <w:rPr>
          <w:rFonts w:eastAsia="楷体_GB2312"/>
          <w:lang w:eastAsia="zh-CN"/>
        </w:rPr>
        <w:t>“交易文件”的附件、附录和附表构成该“交易文件”的一部分，并应与该“交易文件”正文具有相同的效力。对“交易文件”的援引应包括其附件、附录和附表。</w:t>
      </w:r>
    </w:p>
    <w:p w14:paraId="122EFD9C">
      <w:pPr>
        <w:pStyle w:val="28"/>
        <w:numPr>
          <w:ilvl w:val="0"/>
          <w:numId w:val="2"/>
        </w:numPr>
        <w:spacing w:before="156" w:beforeLines="50" w:after="156" w:afterLines="50"/>
        <w:outlineLvl w:val="0"/>
        <w:rPr>
          <w:rFonts w:eastAsia="楷体_GB2312"/>
          <w:b/>
          <w:bCs/>
        </w:rPr>
      </w:pPr>
      <w:bookmarkStart w:id="94" w:name="_DV_M818"/>
      <w:bookmarkEnd w:id="94"/>
      <w:bookmarkStart w:id="95" w:name="_Toc149842440"/>
      <w:bookmarkStart w:id="96" w:name="_Toc524495444"/>
      <w:bookmarkStart w:id="97" w:name="_Toc173860449"/>
      <w:bookmarkStart w:id="98" w:name="_Toc80116307"/>
      <w:bookmarkStart w:id="99" w:name="_Toc121814288"/>
      <w:bookmarkStart w:id="100" w:name="_Toc510596661"/>
      <w:r>
        <w:rPr>
          <w:rFonts w:eastAsia="楷体_GB2312"/>
          <w:b/>
          <w:bCs/>
        </w:rPr>
        <w:t>标题</w:t>
      </w:r>
      <w:bookmarkEnd w:id="95"/>
      <w:bookmarkEnd w:id="96"/>
      <w:bookmarkEnd w:id="97"/>
      <w:bookmarkEnd w:id="98"/>
      <w:bookmarkEnd w:id="99"/>
      <w:bookmarkEnd w:id="100"/>
    </w:p>
    <w:p w14:paraId="2FC404DE">
      <w:pPr>
        <w:pStyle w:val="41"/>
        <w:widowControl w:val="0"/>
        <w:spacing w:before="156" w:beforeLines="50" w:after="156" w:afterLines="50" w:line="360" w:lineRule="auto"/>
        <w:rPr>
          <w:rFonts w:eastAsia="楷体_GB2312"/>
          <w:lang w:eastAsia="zh-CN"/>
        </w:rPr>
      </w:pPr>
      <w:bookmarkStart w:id="101" w:name="_DV_M819"/>
      <w:bookmarkEnd w:id="101"/>
      <w:r>
        <w:rPr>
          <w:rFonts w:eastAsia="楷体_GB2312"/>
          <w:lang w:eastAsia="zh-CN"/>
        </w:rPr>
        <w:t>“交易文件”中的标题仅为援引方便而设。</w:t>
      </w:r>
    </w:p>
    <w:p w14:paraId="0DFB7F29">
      <w:pPr>
        <w:pStyle w:val="28"/>
        <w:numPr>
          <w:ilvl w:val="0"/>
          <w:numId w:val="2"/>
        </w:numPr>
        <w:spacing w:before="156" w:beforeLines="50" w:after="156" w:afterLines="50"/>
        <w:outlineLvl w:val="0"/>
        <w:rPr>
          <w:rFonts w:eastAsia="楷体_GB2312"/>
          <w:b/>
          <w:bCs/>
        </w:rPr>
      </w:pPr>
      <w:bookmarkStart w:id="102" w:name="_DV_M820"/>
      <w:bookmarkEnd w:id="102"/>
      <w:bookmarkStart w:id="103" w:name="_Toc80116308"/>
      <w:bookmarkStart w:id="104" w:name="_Toc173860450"/>
      <w:bookmarkStart w:id="105" w:name="_Toc121814289"/>
      <w:bookmarkStart w:id="106" w:name="_Toc149842441"/>
      <w:bookmarkStart w:id="107" w:name="_Toc510596662"/>
      <w:bookmarkStart w:id="108" w:name="_Toc524495445"/>
      <w:r>
        <w:rPr>
          <w:rFonts w:eastAsia="楷体_GB2312"/>
          <w:b/>
          <w:bCs/>
        </w:rPr>
        <w:t>同意与弃权</w:t>
      </w:r>
      <w:bookmarkEnd w:id="103"/>
      <w:bookmarkEnd w:id="104"/>
      <w:bookmarkEnd w:id="105"/>
      <w:bookmarkEnd w:id="106"/>
      <w:bookmarkEnd w:id="107"/>
    </w:p>
    <w:p w14:paraId="0449F874">
      <w:pPr>
        <w:pStyle w:val="41"/>
        <w:widowControl w:val="0"/>
        <w:spacing w:before="156" w:beforeLines="50" w:after="156" w:afterLines="50" w:line="360" w:lineRule="auto"/>
        <w:rPr>
          <w:rFonts w:eastAsia="楷体_GB2312"/>
          <w:lang w:eastAsia="zh-CN"/>
        </w:rPr>
      </w:pPr>
      <w:bookmarkStart w:id="109" w:name="_DV_M821"/>
      <w:bookmarkEnd w:id="109"/>
      <w:r>
        <w:rPr>
          <w:rFonts w:eastAsia="楷体_GB2312"/>
          <w:lang w:eastAsia="zh-CN"/>
        </w:rPr>
        <w:t>“交易文件”提及的一方的同意，应指该方的书面同意，且“交易文件”提及的一方的弃权，应指该方对某行为或事件的书面弃权。</w:t>
      </w:r>
    </w:p>
    <w:bookmarkEnd w:id="108"/>
    <w:p w14:paraId="24CD223B">
      <w:pPr>
        <w:pStyle w:val="28"/>
        <w:numPr>
          <w:ilvl w:val="0"/>
          <w:numId w:val="2"/>
        </w:numPr>
        <w:spacing w:before="156" w:beforeLines="50" w:after="156" w:afterLines="50"/>
        <w:outlineLvl w:val="0"/>
        <w:rPr>
          <w:rFonts w:eastAsia="楷体_GB2312"/>
          <w:b/>
          <w:bCs/>
        </w:rPr>
      </w:pPr>
      <w:bookmarkStart w:id="110" w:name="_DV_M825"/>
      <w:bookmarkEnd w:id="110"/>
      <w:bookmarkStart w:id="111" w:name="_DV_M824"/>
      <w:bookmarkEnd w:id="111"/>
      <w:bookmarkStart w:id="112" w:name="_DV_M823"/>
      <w:bookmarkEnd w:id="112"/>
      <w:bookmarkStart w:id="113" w:name="_DV_M822"/>
      <w:bookmarkEnd w:id="113"/>
      <w:bookmarkStart w:id="114" w:name="_DV_M826"/>
      <w:bookmarkEnd w:id="114"/>
      <w:bookmarkStart w:id="115" w:name="_Toc149842442"/>
      <w:bookmarkStart w:id="116" w:name="_Toc524495447"/>
      <w:bookmarkStart w:id="117" w:name="_Toc510596663"/>
      <w:bookmarkStart w:id="118" w:name="_Toc173860451"/>
      <w:bookmarkStart w:id="119" w:name="_Toc121814290"/>
      <w:bookmarkStart w:id="120" w:name="_Toc80116311"/>
      <w:r>
        <w:rPr>
          <w:rFonts w:eastAsia="楷体_GB2312"/>
          <w:b/>
          <w:bCs/>
        </w:rPr>
        <w:t>继任机构</w:t>
      </w:r>
      <w:bookmarkEnd w:id="115"/>
      <w:bookmarkEnd w:id="116"/>
      <w:bookmarkEnd w:id="117"/>
      <w:bookmarkEnd w:id="118"/>
      <w:bookmarkEnd w:id="119"/>
      <w:bookmarkEnd w:id="120"/>
    </w:p>
    <w:p w14:paraId="6CA6EBBA">
      <w:pPr>
        <w:pStyle w:val="41"/>
        <w:widowControl w:val="0"/>
        <w:spacing w:before="156" w:beforeLines="50" w:after="156" w:afterLines="50" w:line="360" w:lineRule="auto"/>
        <w:rPr>
          <w:rFonts w:eastAsia="楷体_GB2312"/>
          <w:lang w:eastAsia="zh-CN"/>
        </w:rPr>
      </w:pPr>
      <w:bookmarkStart w:id="121" w:name="_DV_M827"/>
      <w:bookmarkEnd w:id="121"/>
      <w:r>
        <w:rPr>
          <w:rFonts w:eastAsia="楷体_GB2312"/>
          <w:lang w:eastAsia="zh-CN"/>
        </w:rPr>
        <w:t>除非上下文另有</w:t>
      </w:r>
      <w:r>
        <w:rPr>
          <w:rFonts w:eastAsia="楷体_GB2312"/>
          <w:bCs/>
          <w:lang w:eastAsia="zh-CN"/>
        </w:rPr>
        <w:t>约</w:t>
      </w:r>
      <w:r>
        <w:rPr>
          <w:rFonts w:eastAsia="楷体_GB2312"/>
          <w:lang w:eastAsia="zh-CN"/>
        </w:rPr>
        <w:t>定，在“交易文件”中提及“交易文件”的一方时，应包括其继任机构（人），无论是通过担保还是通过其他方式。</w:t>
      </w:r>
    </w:p>
    <w:p w14:paraId="5AAE248C">
      <w:pPr>
        <w:pStyle w:val="28"/>
        <w:numPr>
          <w:ilvl w:val="0"/>
          <w:numId w:val="2"/>
        </w:numPr>
        <w:spacing w:before="156" w:beforeLines="50" w:after="156" w:afterLines="50"/>
        <w:outlineLvl w:val="0"/>
        <w:rPr>
          <w:rFonts w:eastAsia="楷体_GB2312"/>
        </w:rPr>
      </w:pPr>
      <w:bookmarkStart w:id="122" w:name="_DV_M828"/>
      <w:bookmarkEnd w:id="122"/>
      <w:bookmarkStart w:id="123" w:name="_Toc80116312"/>
      <w:bookmarkStart w:id="124" w:name="_Toc510596664"/>
      <w:bookmarkStart w:id="125" w:name="_Toc524495448"/>
      <w:bookmarkStart w:id="126" w:name="_Toc149842443"/>
      <w:bookmarkStart w:id="127" w:name="_Toc173860452"/>
      <w:bookmarkStart w:id="128" w:name="_Toc121814291"/>
      <w:r>
        <w:rPr>
          <w:rFonts w:eastAsia="楷体_GB2312"/>
          <w:b/>
          <w:bCs/>
        </w:rPr>
        <w:t>变动</w:t>
      </w:r>
      <w:bookmarkEnd w:id="123"/>
      <w:bookmarkEnd w:id="124"/>
      <w:bookmarkEnd w:id="125"/>
      <w:bookmarkEnd w:id="126"/>
      <w:bookmarkEnd w:id="127"/>
      <w:bookmarkEnd w:id="128"/>
    </w:p>
    <w:p w14:paraId="65BCF0F0">
      <w:pPr>
        <w:pStyle w:val="41"/>
        <w:widowControl w:val="0"/>
        <w:spacing w:before="156" w:beforeLines="50" w:after="156" w:afterLines="50" w:line="360" w:lineRule="auto"/>
        <w:rPr>
          <w:rFonts w:eastAsia="楷体_GB2312"/>
          <w:lang w:eastAsia="zh-CN"/>
        </w:rPr>
      </w:pPr>
      <w:bookmarkStart w:id="129" w:name="_DV_M829"/>
      <w:bookmarkEnd w:id="129"/>
      <w:r>
        <w:rPr>
          <w:rFonts w:eastAsia="楷体_GB2312"/>
          <w:lang w:eastAsia="zh-CN"/>
        </w:rPr>
        <w:t>除非签署本“《主定义表》”的各方书面同意并且事先通知了“评级机构”，不得对本“《主定义表》”做出任何变动。</w:t>
      </w:r>
    </w:p>
    <w:p w14:paraId="1C741E7A">
      <w:pPr>
        <w:pStyle w:val="28"/>
        <w:numPr>
          <w:ilvl w:val="0"/>
          <w:numId w:val="2"/>
        </w:numPr>
        <w:spacing w:before="156" w:beforeLines="50" w:after="156" w:afterLines="50"/>
        <w:outlineLvl w:val="0"/>
        <w:rPr>
          <w:rFonts w:eastAsia="楷体_GB2312"/>
          <w:b/>
        </w:rPr>
      </w:pPr>
      <w:bookmarkStart w:id="130" w:name="_Toc176615628"/>
      <w:bookmarkStart w:id="131" w:name="_Toc510596665"/>
      <w:bookmarkStart w:id="132" w:name="_Toc151738959"/>
      <w:r>
        <w:rPr>
          <w:rFonts w:eastAsia="楷体_GB2312"/>
          <w:b/>
          <w:bCs/>
        </w:rPr>
        <w:t>生效</w:t>
      </w:r>
      <w:bookmarkEnd w:id="130"/>
      <w:bookmarkEnd w:id="131"/>
    </w:p>
    <w:bookmarkEnd w:id="132"/>
    <w:p w14:paraId="2DC1E864">
      <w:pPr>
        <w:spacing w:before="156" w:beforeLines="50" w:after="156" w:afterLines="50" w:line="360" w:lineRule="auto"/>
        <w:rPr>
          <w:rFonts w:eastAsia="楷体_GB2312"/>
          <w:sz w:val="24"/>
        </w:rPr>
      </w:pPr>
      <w:r>
        <w:rPr>
          <w:rFonts w:eastAsia="楷体_GB2312"/>
          <w:sz w:val="24"/>
        </w:rPr>
        <w:t>本“《主定义表》”经“【发起机构简称】”和“【受托机构全称】”的法定代表人（或授权代理人）签字或盖章并加盖公章或合同专用章之日起生效。</w:t>
      </w:r>
    </w:p>
    <w:p w14:paraId="02FD1568">
      <w:pPr>
        <w:pStyle w:val="28"/>
        <w:numPr>
          <w:ilvl w:val="0"/>
          <w:numId w:val="2"/>
        </w:numPr>
        <w:spacing w:before="156" w:beforeLines="50" w:after="156" w:afterLines="50"/>
        <w:outlineLvl w:val="0"/>
        <w:rPr>
          <w:rFonts w:eastAsia="楷体_GB2312"/>
          <w:b/>
        </w:rPr>
      </w:pPr>
      <w:bookmarkStart w:id="133" w:name="_Toc176615629"/>
      <w:bookmarkStart w:id="134" w:name="_Toc510596666"/>
      <w:r>
        <w:rPr>
          <w:rFonts w:eastAsia="楷体_GB2312"/>
          <w:b/>
          <w:bCs/>
        </w:rPr>
        <w:t>文本</w:t>
      </w:r>
      <w:bookmarkEnd w:id="133"/>
      <w:bookmarkEnd w:id="134"/>
    </w:p>
    <w:p w14:paraId="422AD86D">
      <w:pPr>
        <w:spacing w:before="156" w:beforeLines="50" w:after="156" w:afterLines="50" w:line="360" w:lineRule="auto"/>
        <w:rPr>
          <w:rFonts w:eastAsia="楷体_GB2312"/>
          <w:sz w:val="24"/>
        </w:rPr>
      </w:pPr>
      <w:r>
        <w:rPr>
          <w:rFonts w:eastAsia="楷体_GB2312"/>
          <w:sz w:val="24"/>
        </w:rPr>
        <w:t>本“《主定义表》”一式【】份，具有同等法律效力；“【发起机构简称】”持【】份，“【受托机构全称】”持【】份，其余合同用于与本项目相关的监管报备，在提交报备前留存于“受托人”处。</w:t>
      </w:r>
      <w:bookmarkStart w:id="135" w:name="_DV_M839"/>
      <w:bookmarkEnd w:id="135"/>
      <w:bookmarkStart w:id="136" w:name="_DV_M831"/>
      <w:bookmarkEnd w:id="136"/>
      <w:bookmarkStart w:id="137" w:name="_DV_M834"/>
      <w:bookmarkEnd w:id="137"/>
      <w:bookmarkStart w:id="138" w:name="_DV_M835"/>
      <w:bookmarkEnd w:id="138"/>
      <w:bookmarkStart w:id="139" w:name="_DV_M832"/>
      <w:bookmarkEnd w:id="139"/>
      <w:bookmarkStart w:id="140" w:name="_DV_M833"/>
      <w:bookmarkEnd w:id="140"/>
      <w:bookmarkStart w:id="141" w:name="_DV_M843"/>
      <w:bookmarkEnd w:id="141"/>
      <w:bookmarkStart w:id="142" w:name="_DV_M844"/>
      <w:bookmarkEnd w:id="142"/>
      <w:bookmarkStart w:id="143" w:name="_DV_M845"/>
      <w:bookmarkEnd w:id="143"/>
      <w:bookmarkStart w:id="144" w:name="_DV_M830"/>
      <w:bookmarkEnd w:id="144"/>
      <w:bookmarkStart w:id="145" w:name="_DV_M848"/>
      <w:bookmarkEnd w:id="145"/>
      <w:bookmarkStart w:id="146" w:name="_DV_M838"/>
      <w:bookmarkEnd w:id="146"/>
      <w:bookmarkStart w:id="147" w:name="_DV_M840"/>
      <w:bookmarkEnd w:id="147"/>
    </w:p>
    <w:p w14:paraId="00BD966F">
      <w:pPr>
        <w:spacing w:before="156" w:beforeLines="50" w:after="156" w:afterLines="50" w:line="360" w:lineRule="auto"/>
        <w:rPr>
          <w:rFonts w:eastAsia="楷体_GB2312"/>
          <w:sz w:val="24"/>
        </w:rPr>
      </w:pPr>
      <w:r>
        <w:rPr>
          <w:rFonts w:eastAsia="楷体_GB2312"/>
          <w:sz w:val="24"/>
        </w:rPr>
        <w:t>（以下无正文）</w:t>
      </w:r>
    </w:p>
    <w:p w14:paraId="0440D9B9">
      <w:pPr>
        <w:widowControl/>
        <w:jc w:val="left"/>
        <w:rPr>
          <w:rFonts w:eastAsia="楷体_GB2312"/>
          <w:b/>
          <w:sz w:val="30"/>
          <w:szCs w:val="30"/>
        </w:rPr>
      </w:pPr>
      <w:r>
        <w:rPr>
          <w:rFonts w:eastAsia="楷体_GB2312"/>
          <w:b/>
          <w:sz w:val="30"/>
          <w:szCs w:val="30"/>
        </w:rPr>
        <w:br w:type="page"/>
      </w:r>
    </w:p>
    <w:p w14:paraId="46ED46EE">
      <w:pPr>
        <w:spacing w:line="360" w:lineRule="auto"/>
        <w:rPr>
          <w:rFonts w:eastAsia="楷体_GB2312"/>
          <w:bCs/>
          <w:color w:val="000000" w:themeColor="text1"/>
          <w:kern w:val="0"/>
          <w:sz w:val="24"/>
          <w14:textFill>
            <w14:solidFill>
              <w14:schemeClr w14:val="tx1"/>
            </w14:solidFill>
          </w14:textFill>
        </w:rPr>
      </w:pPr>
      <w:r>
        <w:rPr>
          <w:rFonts w:eastAsia="楷体_GB2312"/>
          <w:bCs/>
          <w:color w:val="000000" w:themeColor="text1"/>
          <w:kern w:val="0"/>
          <w:sz w:val="24"/>
          <w14:textFill>
            <w14:solidFill>
              <w14:schemeClr w14:val="tx1"/>
            </w14:solidFill>
          </w14:textFill>
        </w:rPr>
        <w:t>（本页无正文，为编号为【主定义表编号】的《【信托名称】主定义表》的签署页）</w:t>
      </w:r>
    </w:p>
    <w:p w14:paraId="17C6EAB1">
      <w:pPr>
        <w:pStyle w:val="5"/>
        <w:spacing w:after="0" w:line="360" w:lineRule="auto"/>
        <w:ind w:firstLine="477" w:firstLineChars="198"/>
        <w:rPr>
          <w:rFonts w:eastAsia="楷体_GB2312"/>
          <w:b/>
          <w:color w:val="000000" w:themeColor="text1"/>
          <w:sz w:val="24"/>
          <w14:textFill>
            <w14:solidFill>
              <w14:schemeClr w14:val="tx1"/>
            </w14:solidFill>
          </w14:textFill>
        </w:rPr>
      </w:pPr>
    </w:p>
    <w:p w14:paraId="452654CD">
      <w:pPr>
        <w:pStyle w:val="5"/>
        <w:spacing w:after="0" w:line="360" w:lineRule="auto"/>
        <w:ind w:firstLine="477" w:firstLineChars="198"/>
        <w:rPr>
          <w:rFonts w:eastAsia="楷体_GB2312"/>
          <w:b/>
          <w:color w:val="000000" w:themeColor="text1"/>
          <w:sz w:val="24"/>
          <w14:textFill>
            <w14:solidFill>
              <w14:schemeClr w14:val="tx1"/>
            </w14:solidFill>
          </w14:textFill>
        </w:rPr>
      </w:pPr>
    </w:p>
    <w:p w14:paraId="6A9027C5">
      <w:pPr>
        <w:spacing w:line="360" w:lineRule="auto"/>
        <w:rPr>
          <w:rFonts w:eastAsia="楷体_GB2312"/>
          <w:b/>
          <w:color w:val="000000" w:themeColor="text1"/>
          <w:kern w:val="0"/>
          <w:sz w:val="24"/>
          <w14:textFill>
            <w14:solidFill>
              <w14:schemeClr w14:val="tx1"/>
            </w14:solidFill>
          </w14:textFill>
        </w:rPr>
      </w:pPr>
    </w:p>
    <w:p w14:paraId="37528E9A">
      <w:pPr>
        <w:spacing w:line="360" w:lineRule="auto"/>
        <w:jc w:val="center"/>
        <w:outlineLvl w:val="0"/>
        <w:rPr>
          <w:rFonts w:eastAsia="楷体_GB2312"/>
          <w:b/>
          <w:sz w:val="36"/>
          <w:szCs w:val="36"/>
        </w:rPr>
      </w:pPr>
      <w:r>
        <w:rPr>
          <w:rFonts w:eastAsia="楷体_GB2312"/>
          <w:b/>
          <w:sz w:val="36"/>
          <w:szCs w:val="36"/>
        </w:rPr>
        <w:t>【信托名称】</w:t>
      </w:r>
    </w:p>
    <w:p w14:paraId="75358235">
      <w:pPr>
        <w:spacing w:line="360" w:lineRule="auto"/>
        <w:jc w:val="center"/>
        <w:outlineLvl w:val="0"/>
        <w:rPr>
          <w:rFonts w:eastAsia="楷体_GB2312"/>
          <w:b/>
          <w:sz w:val="36"/>
          <w:szCs w:val="36"/>
        </w:rPr>
      </w:pPr>
      <w:r>
        <w:rPr>
          <w:rFonts w:eastAsia="楷体_GB2312"/>
          <w:b/>
          <w:sz w:val="36"/>
          <w:szCs w:val="36"/>
        </w:rPr>
        <w:t>主定义表</w:t>
      </w:r>
    </w:p>
    <w:p w14:paraId="20D12A69">
      <w:pPr>
        <w:pStyle w:val="5"/>
        <w:spacing w:after="0" w:line="360" w:lineRule="auto"/>
        <w:jc w:val="center"/>
        <w:rPr>
          <w:rFonts w:eastAsia="楷体_GB2312"/>
          <w:b/>
          <w:sz w:val="24"/>
        </w:rPr>
      </w:pPr>
    </w:p>
    <w:p w14:paraId="1354BB10">
      <w:pPr>
        <w:pStyle w:val="5"/>
        <w:spacing w:after="0" w:line="360" w:lineRule="auto"/>
        <w:jc w:val="center"/>
        <w:rPr>
          <w:rFonts w:eastAsia="楷体_GB2312"/>
          <w:b/>
          <w:sz w:val="24"/>
        </w:rPr>
      </w:pPr>
      <w:r>
        <w:rPr>
          <w:rFonts w:eastAsia="楷体_GB2312"/>
          <w:b/>
          <w:sz w:val="24"/>
        </w:rPr>
        <w:t>签署页</w:t>
      </w:r>
    </w:p>
    <w:p w14:paraId="34992224">
      <w:pPr>
        <w:pStyle w:val="5"/>
        <w:spacing w:after="0" w:line="360" w:lineRule="auto"/>
        <w:ind w:firstLine="477" w:firstLineChars="198"/>
        <w:rPr>
          <w:rFonts w:eastAsia="楷体_GB2312"/>
          <w:b/>
          <w:color w:val="000000" w:themeColor="text1"/>
          <w:sz w:val="24"/>
          <w14:textFill>
            <w14:solidFill>
              <w14:schemeClr w14:val="tx1"/>
            </w14:solidFill>
          </w14:textFill>
        </w:rPr>
      </w:pPr>
    </w:p>
    <w:p w14:paraId="71BF83EF">
      <w:pPr>
        <w:pStyle w:val="5"/>
        <w:spacing w:after="0" w:line="360" w:lineRule="auto"/>
        <w:ind w:firstLine="477" w:firstLineChars="198"/>
        <w:rPr>
          <w:rFonts w:eastAsia="楷体_GB2312"/>
          <w:b/>
          <w:color w:val="000000" w:themeColor="text1"/>
          <w:sz w:val="24"/>
          <w14:textFill>
            <w14:solidFill>
              <w14:schemeClr w14:val="tx1"/>
            </w14:solidFill>
          </w14:textFill>
        </w:rPr>
      </w:pPr>
    </w:p>
    <w:p w14:paraId="5B356541">
      <w:pPr>
        <w:pStyle w:val="5"/>
        <w:spacing w:after="0" w:line="360" w:lineRule="auto"/>
        <w:ind w:firstLine="477" w:firstLineChars="198"/>
        <w:rPr>
          <w:rFonts w:eastAsia="楷体_GB2312"/>
          <w:b/>
          <w:color w:val="000000" w:themeColor="text1"/>
          <w:sz w:val="24"/>
          <w14:textFill>
            <w14:solidFill>
              <w14:schemeClr w14:val="tx1"/>
            </w14:solidFill>
          </w14:textFill>
        </w:rPr>
      </w:pPr>
    </w:p>
    <w:p w14:paraId="2A7A4B27">
      <w:pPr>
        <w:pStyle w:val="5"/>
        <w:spacing w:after="0" w:line="360" w:lineRule="auto"/>
        <w:ind w:firstLine="477" w:firstLineChars="198"/>
        <w:rPr>
          <w:rFonts w:eastAsia="楷体_GB2312"/>
          <w:b/>
          <w:color w:val="000000" w:themeColor="text1"/>
          <w:sz w:val="24"/>
          <w14:textFill>
            <w14:solidFill>
              <w14:schemeClr w14:val="tx1"/>
            </w14:solidFill>
          </w14:textFill>
        </w:rPr>
      </w:pPr>
    </w:p>
    <w:p w14:paraId="30A1D728">
      <w:pPr>
        <w:pStyle w:val="5"/>
        <w:spacing w:after="0" w:line="360" w:lineRule="auto"/>
        <w:ind w:firstLine="477" w:firstLineChars="198"/>
        <w:rPr>
          <w:rFonts w:eastAsia="楷体_GB2312"/>
          <w:b/>
          <w:color w:val="000000" w:themeColor="text1"/>
          <w:sz w:val="24"/>
          <w14:textFill>
            <w14:solidFill>
              <w14:schemeClr w14:val="tx1"/>
            </w14:solidFill>
          </w14:textFill>
        </w:rPr>
      </w:pPr>
    </w:p>
    <w:p w14:paraId="4BC7F804">
      <w:pPr>
        <w:spacing w:line="360" w:lineRule="auto"/>
        <w:rPr>
          <w:rFonts w:eastAsia="楷体_GB2312"/>
          <w:b/>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【发起机构全称】（公章或合同专用章）：</w:t>
      </w:r>
    </w:p>
    <w:p w14:paraId="51828D2A">
      <w:pPr>
        <w:spacing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（作为委托人</w:t>
      </w:r>
      <w:r>
        <w:rPr>
          <w:rFonts w:hint="eastAsia" w:eastAsia="楷体_GB2312"/>
          <w:color w:val="000000" w:themeColor="text1"/>
          <w:kern w:val="0"/>
          <w:sz w:val="24"/>
          <w14:textFill>
            <w14:solidFill>
              <w14:schemeClr w14:val="tx1"/>
            </w14:solidFill>
          </w14:textFill>
        </w:rPr>
        <w:t>和</w:t>
      </w:r>
      <w:r>
        <w:rPr>
          <w:rFonts w:eastAsia="楷体_GB2312"/>
          <w:color w:val="000000" w:themeColor="text1"/>
          <w:kern w:val="0"/>
          <w:sz w:val="24"/>
          <w14:textFill>
            <w14:solidFill>
              <w14:schemeClr w14:val="tx1"/>
            </w14:solidFill>
          </w14:textFill>
        </w:rPr>
        <w:t>发起机构）</w:t>
      </w:r>
    </w:p>
    <w:p w14:paraId="186E6AB0">
      <w:pPr>
        <w:spacing w:after="156" w:afterLines="50" w:line="360" w:lineRule="auto"/>
        <w:rPr>
          <w:rFonts w:eastAsia="楷体_GB2312"/>
          <w:color w:val="000000" w:themeColor="text1"/>
          <w:kern w:val="0"/>
          <w:sz w:val="24"/>
          <w14:textFill>
            <w14:solidFill>
              <w14:schemeClr w14:val="tx1"/>
            </w14:solidFill>
          </w14:textFill>
        </w:rPr>
      </w:pPr>
    </w:p>
    <w:p w14:paraId="5EFFA107">
      <w:pPr>
        <w:spacing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法定代表人或授权代理人：</w:t>
      </w:r>
    </w:p>
    <w:p w14:paraId="0FD16123">
      <w:pPr>
        <w:spacing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签署日期：    年   月   日</w:t>
      </w:r>
    </w:p>
    <w:p w14:paraId="6E883C27">
      <w:pPr>
        <w:widowControl/>
        <w:jc w:val="left"/>
        <w:rPr>
          <w:rFonts w:eastAsia="楷体_GB2312"/>
          <w:b/>
          <w:kern w:val="0"/>
          <w:sz w:val="28"/>
          <w:szCs w:val="28"/>
          <w:lang w:val="en-GB"/>
        </w:rPr>
      </w:pPr>
      <w:r>
        <w:rPr>
          <w:rFonts w:eastAsia="楷体_GB2312"/>
          <w:b/>
          <w:kern w:val="0"/>
          <w:sz w:val="28"/>
          <w:szCs w:val="28"/>
          <w:lang w:val="en-GB"/>
        </w:rPr>
        <w:br w:type="page"/>
      </w:r>
    </w:p>
    <w:p w14:paraId="7B788619">
      <w:pPr>
        <w:spacing w:line="360" w:lineRule="auto"/>
        <w:rPr>
          <w:rFonts w:eastAsia="楷体_GB2312"/>
          <w:bCs/>
          <w:color w:val="000000" w:themeColor="text1"/>
          <w:kern w:val="0"/>
          <w:sz w:val="24"/>
          <w14:textFill>
            <w14:solidFill>
              <w14:schemeClr w14:val="tx1"/>
            </w14:solidFill>
          </w14:textFill>
        </w:rPr>
      </w:pPr>
      <w:bookmarkStart w:id="148" w:name="_Hlk221885128"/>
      <w:r>
        <w:rPr>
          <w:rFonts w:eastAsia="楷体_GB2312"/>
          <w:bCs/>
          <w:color w:val="000000" w:themeColor="text1"/>
          <w:kern w:val="0"/>
          <w:sz w:val="24"/>
          <w14:textFill>
            <w14:solidFill>
              <w14:schemeClr w14:val="tx1"/>
            </w14:solidFill>
          </w14:textFill>
        </w:rPr>
        <w:t>（本页无正文，为编号为</w:t>
      </w:r>
      <w:r>
        <w:rPr>
          <w:rFonts w:eastAsia="楷体_GB2312"/>
          <w:kern w:val="0"/>
          <w:sz w:val="24"/>
        </w:rPr>
        <w:t>【主定义表编号】的</w:t>
      </w:r>
      <w:r>
        <w:rPr>
          <w:rFonts w:eastAsia="楷体_GB2312"/>
          <w:bCs/>
          <w:color w:val="000000" w:themeColor="text1"/>
          <w:kern w:val="0"/>
          <w:sz w:val="24"/>
          <w14:textFill>
            <w14:solidFill>
              <w14:schemeClr w14:val="tx1"/>
            </w14:solidFill>
          </w14:textFill>
        </w:rPr>
        <w:t>《【信托名称】主定义表》的签署页）</w:t>
      </w:r>
    </w:p>
    <w:p w14:paraId="59BD5681">
      <w:pPr>
        <w:spacing w:line="360" w:lineRule="auto"/>
        <w:rPr>
          <w:rFonts w:eastAsia="楷体_GB2312"/>
          <w:b/>
          <w:color w:val="000000" w:themeColor="text1"/>
          <w:kern w:val="0"/>
          <w:sz w:val="24"/>
          <w14:textFill>
            <w14:solidFill>
              <w14:schemeClr w14:val="tx1"/>
            </w14:solidFill>
          </w14:textFill>
        </w:rPr>
      </w:pPr>
    </w:p>
    <w:p w14:paraId="4FAC8295">
      <w:pPr>
        <w:spacing w:line="360" w:lineRule="auto"/>
        <w:rPr>
          <w:rFonts w:eastAsia="楷体_GB2312"/>
          <w:b/>
          <w:color w:val="000000" w:themeColor="text1"/>
          <w:kern w:val="0"/>
          <w:sz w:val="24"/>
          <w14:textFill>
            <w14:solidFill>
              <w14:schemeClr w14:val="tx1"/>
            </w14:solidFill>
          </w14:textFill>
        </w:rPr>
      </w:pPr>
    </w:p>
    <w:p w14:paraId="281A614D">
      <w:pPr>
        <w:spacing w:line="360" w:lineRule="auto"/>
        <w:rPr>
          <w:rFonts w:eastAsia="楷体_GB2312"/>
          <w:b/>
          <w:color w:val="000000" w:themeColor="text1"/>
          <w:kern w:val="0"/>
          <w:sz w:val="24"/>
          <w14:textFill>
            <w14:solidFill>
              <w14:schemeClr w14:val="tx1"/>
            </w14:solidFill>
          </w14:textFill>
        </w:rPr>
      </w:pPr>
    </w:p>
    <w:p w14:paraId="17139247">
      <w:pPr>
        <w:spacing w:line="360" w:lineRule="auto"/>
        <w:jc w:val="center"/>
        <w:outlineLvl w:val="0"/>
        <w:rPr>
          <w:rFonts w:eastAsia="楷体_GB2312"/>
          <w:b/>
          <w:sz w:val="36"/>
          <w:szCs w:val="36"/>
        </w:rPr>
      </w:pPr>
      <w:r>
        <w:rPr>
          <w:rFonts w:eastAsia="楷体_GB2312"/>
          <w:b/>
          <w:sz w:val="36"/>
          <w:szCs w:val="36"/>
        </w:rPr>
        <w:t>【信托名称】</w:t>
      </w:r>
    </w:p>
    <w:p w14:paraId="64DF7652">
      <w:pPr>
        <w:spacing w:line="360" w:lineRule="auto"/>
        <w:jc w:val="center"/>
        <w:outlineLvl w:val="0"/>
        <w:rPr>
          <w:rFonts w:eastAsia="楷体_GB2312"/>
          <w:b/>
          <w:sz w:val="36"/>
          <w:szCs w:val="36"/>
        </w:rPr>
      </w:pPr>
      <w:r>
        <w:rPr>
          <w:rFonts w:eastAsia="楷体_GB2312"/>
          <w:b/>
          <w:sz w:val="36"/>
          <w:szCs w:val="36"/>
        </w:rPr>
        <w:t>主定义表</w:t>
      </w:r>
    </w:p>
    <w:p w14:paraId="6BCB2165">
      <w:pPr>
        <w:pStyle w:val="5"/>
        <w:spacing w:after="0" w:line="360" w:lineRule="auto"/>
        <w:jc w:val="center"/>
        <w:rPr>
          <w:rFonts w:eastAsia="楷体_GB2312"/>
          <w:b/>
          <w:sz w:val="24"/>
        </w:rPr>
      </w:pPr>
    </w:p>
    <w:p w14:paraId="6ACD1853">
      <w:pPr>
        <w:pStyle w:val="5"/>
        <w:spacing w:after="0" w:line="360" w:lineRule="auto"/>
        <w:jc w:val="center"/>
        <w:rPr>
          <w:rFonts w:eastAsia="楷体_GB2312"/>
          <w:b/>
          <w:sz w:val="24"/>
        </w:rPr>
      </w:pPr>
      <w:r>
        <w:rPr>
          <w:rFonts w:eastAsia="楷体_GB2312"/>
          <w:b/>
          <w:sz w:val="24"/>
        </w:rPr>
        <w:t>签署页</w:t>
      </w:r>
    </w:p>
    <w:p w14:paraId="592B1313">
      <w:pPr>
        <w:spacing w:line="360" w:lineRule="auto"/>
        <w:rPr>
          <w:rFonts w:eastAsia="楷体_GB2312"/>
          <w:b/>
          <w:color w:val="000000" w:themeColor="text1"/>
          <w:kern w:val="0"/>
          <w:sz w:val="24"/>
          <w14:textFill>
            <w14:solidFill>
              <w14:schemeClr w14:val="tx1"/>
            </w14:solidFill>
          </w14:textFill>
        </w:rPr>
      </w:pPr>
    </w:p>
    <w:p w14:paraId="6487A188">
      <w:pPr>
        <w:spacing w:line="360" w:lineRule="auto"/>
        <w:rPr>
          <w:rFonts w:eastAsia="楷体_GB2312"/>
          <w:b/>
          <w:color w:val="000000" w:themeColor="text1"/>
          <w:kern w:val="0"/>
          <w:sz w:val="24"/>
          <w14:textFill>
            <w14:solidFill>
              <w14:schemeClr w14:val="tx1"/>
            </w14:solidFill>
          </w14:textFill>
        </w:rPr>
      </w:pPr>
    </w:p>
    <w:p w14:paraId="424CD23F">
      <w:pPr>
        <w:spacing w:line="360" w:lineRule="auto"/>
        <w:rPr>
          <w:rFonts w:eastAsia="楷体_GB2312"/>
          <w:b/>
          <w:color w:val="000000" w:themeColor="text1"/>
          <w:kern w:val="0"/>
          <w:sz w:val="24"/>
          <w14:textFill>
            <w14:solidFill>
              <w14:schemeClr w14:val="tx1"/>
            </w14:solidFill>
          </w14:textFill>
        </w:rPr>
      </w:pPr>
    </w:p>
    <w:p w14:paraId="182A8DAF">
      <w:pPr>
        <w:spacing w:line="360" w:lineRule="auto"/>
        <w:rPr>
          <w:rFonts w:eastAsia="楷体_GB2312"/>
          <w:b/>
          <w:color w:val="000000" w:themeColor="text1"/>
          <w:kern w:val="0"/>
          <w:sz w:val="24"/>
          <w14:textFill>
            <w14:solidFill>
              <w14:schemeClr w14:val="tx1"/>
            </w14:solidFill>
          </w14:textFill>
        </w:rPr>
      </w:pPr>
    </w:p>
    <w:p w14:paraId="338A4166">
      <w:pPr>
        <w:spacing w:line="360" w:lineRule="auto"/>
        <w:rPr>
          <w:rFonts w:eastAsia="楷体_GB2312"/>
          <w:b/>
          <w:color w:val="000000" w:themeColor="text1"/>
          <w:kern w:val="0"/>
          <w:sz w:val="24"/>
          <w14:textFill>
            <w14:solidFill>
              <w14:schemeClr w14:val="tx1"/>
            </w14:solidFill>
          </w14:textFill>
        </w:rPr>
      </w:pPr>
    </w:p>
    <w:p w14:paraId="59FBC330">
      <w:pPr>
        <w:spacing w:line="360" w:lineRule="auto"/>
        <w:rPr>
          <w:rFonts w:eastAsia="楷体_GB2312"/>
          <w:b/>
          <w:color w:val="000000" w:themeColor="text1"/>
          <w:kern w:val="0"/>
          <w:sz w:val="24"/>
          <w14:textFill>
            <w14:solidFill>
              <w14:schemeClr w14:val="tx1"/>
            </w14:solidFill>
          </w14:textFill>
        </w:rPr>
      </w:pPr>
      <w:r>
        <w:rPr>
          <w:rFonts w:eastAsia="楷体_GB2312"/>
          <w:b/>
          <w:color w:val="000000" w:themeColor="text1"/>
          <w:kern w:val="0"/>
          <w:sz w:val="24"/>
          <w14:textFill>
            <w14:solidFill>
              <w14:schemeClr w14:val="tx1"/>
            </w14:solidFill>
          </w14:textFill>
        </w:rPr>
        <w:t>【受托机构全称】（公章或合同专用章）：</w:t>
      </w:r>
    </w:p>
    <w:p w14:paraId="2A7C002D">
      <w:pPr>
        <w:spacing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（作为受托人、受托机构和发行人）</w:t>
      </w:r>
    </w:p>
    <w:p w14:paraId="721F7BDC">
      <w:pPr>
        <w:spacing w:after="156" w:afterLines="50" w:line="360" w:lineRule="auto"/>
        <w:rPr>
          <w:rFonts w:eastAsia="楷体_GB2312"/>
          <w:color w:val="000000" w:themeColor="text1"/>
          <w:kern w:val="0"/>
          <w:sz w:val="24"/>
          <w14:textFill>
            <w14:solidFill>
              <w14:schemeClr w14:val="tx1"/>
            </w14:solidFill>
          </w14:textFill>
        </w:rPr>
      </w:pPr>
    </w:p>
    <w:p w14:paraId="3CDFABFF">
      <w:pPr>
        <w:spacing w:after="156" w:afterLines="50" w:line="360" w:lineRule="auto"/>
        <w:rPr>
          <w:rFonts w:eastAsia="楷体_GB2312"/>
          <w:color w:val="000000" w:themeColor="text1"/>
          <w:kern w:val="0"/>
          <w:sz w:val="24"/>
          <w14:textFill>
            <w14:solidFill>
              <w14:schemeClr w14:val="tx1"/>
            </w14:solidFill>
          </w14:textFill>
        </w:rPr>
      </w:pPr>
      <w:r>
        <w:rPr>
          <w:rFonts w:eastAsia="楷体_GB2312"/>
          <w:color w:val="000000" w:themeColor="text1"/>
          <w:kern w:val="0"/>
          <w:sz w:val="24"/>
          <w14:textFill>
            <w14:solidFill>
              <w14:schemeClr w14:val="tx1"/>
            </w14:solidFill>
          </w14:textFill>
        </w:rPr>
        <w:t>法定代表人或授权代理人：</w:t>
      </w:r>
    </w:p>
    <w:p w14:paraId="6BD61FE3">
      <w:pPr>
        <w:spacing w:line="360" w:lineRule="auto"/>
        <w:rPr>
          <w:rFonts w:eastAsia="楷体_GB2312"/>
          <w:color w:val="000000" w:themeColor="text1"/>
          <w14:textFill>
            <w14:solidFill>
              <w14:schemeClr w14:val="tx1"/>
            </w14:solidFill>
          </w14:textFill>
        </w:rPr>
      </w:pPr>
      <w:r>
        <w:rPr>
          <w:rFonts w:eastAsia="楷体_GB2312"/>
          <w:color w:val="000000" w:themeColor="text1"/>
          <w:kern w:val="0"/>
          <w:sz w:val="24"/>
          <w14:textFill>
            <w14:solidFill>
              <w14:schemeClr w14:val="tx1"/>
            </w14:solidFill>
          </w14:textFill>
        </w:rPr>
        <w:t>签署日期：    年   月   日</w:t>
      </w:r>
      <w:bookmarkEnd w:id="148"/>
    </w:p>
    <w:p w14:paraId="109247E5">
      <w:pPr>
        <w:widowControl/>
        <w:spacing w:line="300" w:lineRule="auto"/>
        <w:rPr>
          <w:rFonts w:eastAsia="楷体_GB2312"/>
          <w:bCs/>
          <w:kern w:val="0"/>
          <w:sz w:val="28"/>
          <w:szCs w:val="28"/>
          <w:lang w:val="en-GB"/>
        </w:rPr>
      </w:pPr>
    </w:p>
    <w:sectPr>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PMingLiU">
    <w:altName w:val="Microsoft JhengHei UI"/>
    <w:panose1 w:val="02010601000101010101"/>
    <w:charset w:val="88"/>
    <w:family w:val="roman"/>
    <w:pitch w:val="default"/>
    <w:sig w:usb0="00000000" w:usb1="00000000" w:usb2="00000016" w:usb3="00000000" w:csb0="00100001" w:csb1="00000000"/>
  </w:font>
  <w:font w:name="Droid Sans Fallback">
    <w:altName w:val="宋体"/>
    <w:panose1 w:val="020B0502000000000001"/>
    <w:charset w:val="86"/>
    <w:family w:val="auto"/>
    <w:pitch w:val="default"/>
    <w:sig w:usb0="00000000" w:usb1="00000000" w:usb2="00000036" w:usb3="00000000" w:csb0="203F01FF"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9223418"/>
    </w:sdtPr>
    <w:sdtContent>
      <w:p w14:paraId="153BDA5E">
        <w:pPr>
          <w:pStyle w:val="11"/>
          <w:jc w:val="center"/>
        </w:pPr>
        <w:r>
          <w:fldChar w:fldCharType="begin"/>
        </w:r>
        <w:r>
          <w:instrText xml:space="preserve">PAGE   \* MERGEFORMAT</w:instrText>
        </w:r>
        <w:r>
          <w:fldChar w:fldCharType="separate"/>
        </w:r>
        <w:r>
          <w:rPr>
            <w:lang w:val="zh-CN"/>
          </w:rPr>
          <w:t>1</w:t>
        </w:r>
        <w:r>
          <w:fldChar w:fldCharType="end"/>
        </w:r>
      </w:p>
    </w:sdtContent>
  </w:sdt>
  <w:p w14:paraId="34350BCF">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15370">
    <w:pPr>
      <w:pStyle w:val="11"/>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30</w:t>
    </w:r>
    <w:r>
      <w:rPr>
        <w:rStyle w:val="24"/>
      </w:rPr>
      <w:fldChar w:fldCharType="end"/>
    </w:r>
  </w:p>
  <w:p w14:paraId="153ADE6F">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C95E2">
    <w:pPr>
      <w:pStyle w:val="11"/>
      <w:jc w:val="center"/>
    </w:pPr>
  </w:p>
  <w:p w14:paraId="6D0ED198">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468145D0">
        <w:pPr>
          <w:pStyle w:val="11"/>
          <w:jc w:val="center"/>
        </w:pPr>
        <w:r>
          <w:fldChar w:fldCharType="begin"/>
        </w:r>
        <w:r>
          <w:instrText xml:space="preserve">PAGE   \* MERGEFORMAT</w:instrText>
        </w:r>
        <w:r>
          <w:fldChar w:fldCharType="separate"/>
        </w:r>
        <w:r>
          <w:rPr>
            <w:lang w:val="zh-CN"/>
          </w:rPr>
          <w:t>20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175A952E">
      <w:pPr>
        <w:pStyle w:val="17"/>
      </w:pPr>
      <w:r>
        <w:rPr>
          <w:rStyle w:val="27"/>
        </w:rPr>
        <w:footnoteRef/>
      </w:r>
      <w:r>
        <w:t xml:space="preserve"> </w:t>
      </w:r>
      <w:r>
        <w:rPr>
          <w:rFonts w:hint="eastAsia" w:ascii="楷体_GB2312" w:hAnsi="楷体_GB2312" w:eastAsia="楷体_GB2312" w:cs="楷体_GB2312"/>
        </w:rPr>
        <w:t>棚户区改造项目贷款资产支持证券可参考本标准合同范本进行修改</w:t>
      </w:r>
      <w:bookmarkStart w:id="149" w:name="_Hlk221133888"/>
      <w:r>
        <w:rPr>
          <w:rFonts w:hint="eastAsia" w:ascii="楷体_GB2312" w:hAnsi="楷体_GB2312" w:eastAsia="楷体_GB2312" w:cs="楷体_GB2312"/>
        </w:rPr>
        <w:t>。本合同版本</w:t>
      </w:r>
      <w:r>
        <w:rPr>
          <w:rFonts w:ascii="楷体_GB2312" w:hAnsi="楷体_GB2312" w:eastAsia="楷体_GB2312" w:cs="楷体_GB2312"/>
        </w:rPr>
        <w:t>作为</w:t>
      </w:r>
      <w:r>
        <w:rPr>
          <w:rFonts w:hint="eastAsia" w:ascii="楷体_GB2312" w:hAnsi="楷体_GB2312" w:eastAsia="楷体_GB2312" w:cs="楷体_GB2312"/>
        </w:rPr>
        <w:t>微小企业</w:t>
      </w:r>
      <w:r>
        <w:rPr>
          <w:rFonts w:ascii="楷体_GB2312" w:hAnsi="楷体_GB2312" w:eastAsia="楷体_GB2312" w:cs="楷体_GB2312"/>
        </w:rPr>
        <w:t>贷款资产支持证券的标准范本供市场机构参考</w:t>
      </w:r>
      <w:r>
        <w:rPr>
          <w:rFonts w:hint="eastAsia" w:ascii="楷体_GB2312" w:hAnsi="楷体_GB2312" w:eastAsia="楷体_GB2312" w:cs="楷体_GB2312"/>
        </w:rPr>
        <w:t>，非强制适用，合同条款可根据项目具体情况予以调整，法律法规另有规定的除外。</w:t>
      </w:r>
      <w:bookmarkEnd w:id="149"/>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7740A">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B27400"/>
    <w:multiLevelType w:val="multilevel"/>
    <w:tmpl w:val="03B27400"/>
    <w:lvl w:ilvl="0" w:tentative="0">
      <w:start w:val="1"/>
      <w:numFmt w:val="lowerLetter"/>
      <w:lvlText w:val="(%1)"/>
      <w:lvlJc w:val="left"/>
      <w:pPr>
        <w:tabs>
          <w:tab w:val="left" w:pos="1215"/>
        </w:tabs>
        <w:ind w:left="1215" w:hanging="375"/>
      </w:pPr>
      <w:rPr>
        <w:rFonts w:hint="default"/>
        <w:b w:val="0"/>
        <w:color w:val="auto"/>
      </w:rPr>
    </w:lvl>
    <w:lvl w:ilvl="1" w:tentative="0">
      <w:start w:val="1"/>
      <w:numFmt w:val="lowerLetter"/>
      <w:lvlText w:val="%2)"/>
      <w:lvlJc w:val="left"/>
      <w:pPr>
        <w:tabs>
          <w:tab w:val="left" w:pos="1113"/>
        </w:tabs>
        <w:ind w:left="1113" w:hanging="420"/>
      </w:pPr>
    </w:lvl>
    <w:lvl w:ilvl="2" w:tentative="0">
      <w:start w:val="1"/>
      <w:numFmt w:val="lowerRoman"/>
      <w:lvlText w:val="%3."/>
      <w:lvlJc w:val="right"/>
      <w:pPr>
        <w:tabs>
          <w:tab w:val="left" w:pos="1533"/>
        </w:tabs>
        <w:ind w:left="1533" w:hanging="420"/>
      </w:pPr>
    </w:lvl>
    <w:lvl w:ilvl="3" w:tentative="0">
      <w:start w:val="1"/>
      <w:numFmt w:val="decimal"/>
      <w:lvlText w:val="%4."/>
      <w:lvlJc w:val="left"/>
      <w:pPr>
        <w:tabs>
          <w:tab w:val="left" w:pos="1953"/>
        </w:tabs>
        <w:ind w:left="1953" w:hanging="420"/>
      </w:pPr>
    </w:lvl>
    <w:lvl w:ilvl="4" w:tentative="0">
      <w:start w:val="1"/>
      <w:numFmt w:val="lowerLetter"/>
      <w:lvlText w:val="%5)"/>
      <w:lvlJc w:val="left"/>
      <w:pPr>
        <w:tabs>
          <w:tab w:val="left" w:pos="2373"/>
        </w:tabs>
        <w:ind w:left="2373" w:hanging="420"/>
      </w:pPr>
    </w:lvl>
    <w:lvl w:ilvl="5" w:tentative="0">
      <w:start w:val="1"/>
      <w:numFmt w:val="lowerRoman"/>
      <w:lvlText w:val="%6."/>
      <w:lvlJc w:val="right"/>
      <w:pPr>
        <w:tabs>
          <w:tab w:val="left" w:pos="2793"/>
        </w:tabs>
        <w:ind w:left="2793" w:hanging="420"/>
      </w:pPr>
    </w:lvl>
    <w:lvl w:ilvl="6" w:tentative="0">
      <w:start w:val="1"/>
      <w:numFmt w:val="decimal"/>
      <w:lvlText w:val="%7."/>
      <w:lvlJc w:val="left"/>
      <w:pPr>
        <w:tabs>
          <w:tab w:val="left" w:pos="3213"/>
        </w:tabs>
        <w:ind w:left="3213" w:hanging="420"/>
      </w:pPr>
    </w:lvl>
    <w:lvl w:ilvl="7" w:tentative="0">
      <w:start w:val="1"/>
      <w:numFmt w:val="lowerLetter"/>
      <w:lvlText w:val="%8)"/>
      <w:lvlJc w:val="left"/>
      <w:pPr>
        <w:tabs>
          <w:tab w:val="left" w:pos="3633"/>
        </w:tabs>
        <w:ind w:left="3633" w:hanging="420"/>
      </w:pPr>
    </w:lvl>
    <w:lvl w:ilvl="8" w:tentative="0">
      <w:start w:val="1"/>
      <w:numFmt w:val="lowerRoman"/>
      <w:lvlText w:val="%9."/>
      <w:lvlJc w:val="right"/>
      <w:pPr>
        <w:tabs>
          <w:tab w:val="left" w:pos="4053"/>
        </w:tabs>
        <w:ind w:left="4053" w:hanging="420"/>
      </w:pPr>
    </w:lvl>
  </w:abstractNum>
  <w:abstractNum w:abstractNumId="1">
    <w:nsid w:val="075B5E2B"/>
    <w:multiLevelType w:val="multilevel"/>
    <w:tmpl w:val="075B5E2B"/>
    <w:lvl w:ilvl="0" w:tentative="0">
      <w:start w:val="1"/>
      <w:numFmt w:val="lowerLetter"/>
      <w:lvlText w:val="(%1)"/>
      <w:lvlJc w:val="left"/>
      <w:pPr>
        <w:tabs>
          <w:tab w:val="left" w:pos="942"/>
        </w:tabs>
        <w:ind w:left="942" w:hanging="375"/>
      </w:pPr>
      <w:rPr>
        <w:rFonts w:hint="default"/>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84D182A"/>
    <w:multiLevelType w:val="multilevel"/>
    <w:tmpl w:val="084D182A"/>
    <w:lvl w:ilvl="0" w:tentative="0">
      <w:start w:val="1"/>
      <w:numFmt w:val="lowerLetter"/>
      <w:lvlText w:val="(%1)"/>
      <w:lvlJc w:val="left"/>
      <w:pPr>
        <w:tabs>
          <w:tab w:val="left" w:pos="1215"/>
        </w:tabs>
        <w:ind w:left="1215" w:hanging="375"/>
      </w:pPr>
      <w:rPr>
        <w:rFonts w:hint="default"/>
        <w:b w:val="0"/>
        <w:color w:val="auto"/>
      </w:rPr>
    </w:lvl>
    <w:lvl w:ilvl="1" w:tentative="0">
      <w:start w:val="1"/>
      <w:numFmt w:val="lowerLetter"/>
      <w:lvlText w:val="%2)"/>
      <w:lvlJc w:val="left"/>
      <w:pPr>
        <w:tabs>
          <w:tab w:val="left" w:pos="1113"/>
        </w:tabs>
        <w:ind w:left="1113" w:hanging="420"/>
      </w:pPr>
    </w:lvl>
    <w:lvl w:ilvl="2" w:tentative="0">
      <w:start w:val="1"/>
      <w:numFmt w:val="lowerRoman"/>
      <w:lvlText w:val="%3."/>
      <w:lvlJc w:val="right"/>
      <w:pPr>
        <w:tabs>
          <w:tab w:val="left" w:pos="1533"/>
        </w:tabs>
        <w:ind w:left="1533" w:hanging="420"/>
      </w:pPr>
    </w:lvl>
    <w:lvl w:ilvl="3" w:tentative="0">
      <w:start w:val="1"/>
      <w:numFmt w:val="decimal"/>
      <w:lvlText w:val="%4."/>
      <w:lvlJc w:val="left"/>
      <w:pPr>
        <w:tabs>
          <w:tab w:val="left" w:pos="1953"/>
        </w:tabs>
        <w:ind w:left="1953" w:hanging="420"/>
      </w:pPr>
    </w:lvl>
    <w:lvl w:ilvl="4" w:tentative="0">
      <w:start w:val="1"/>
      <w:numFmt w:val="lowerLetter"/>
      <w:lvlText w:val="%5)"/>
      <w:lvlJc w:val="left"/>
      <w:pPr>
        <w:tabs>
          <w:tab w:val="left" w:pos="2373"/>
        </w:tabs>
        <w:ind w:left="2373" w:hanging="420"/>
      </w:pPr>
    </w:lvl>
    <w:lvl w:ilvl="5" w:tentative="0">
      <w:start w:val="1"/>
      <w:numFmt w:val="lowerRoman"/>
      <w:lvlText w:val="%6."/>
      <w:lvlJc w:val="right"/>
      <w:pPr>
        <w:tabs>
          <w:tab w:val="left" w:pos="2793"/>
        </w:tabs>
        <w:ind w:left="2793" w:hanging="420"/>
      </w:pPr>
    </w:lvl>
    <w:lvl w:ilvl="6" w:tentative="0">
      <w:start w:val="1"/>
      <w:numFmt w:val="decimal"/>
      <w:lvlText w:val="%7."/>
      <w:lvlJc w:val="left"/>
      <w:pPr>
        <w:tabs>
          <w:tab w:val="left" w:pos="3213"/>
        </w:tabs>
        <w:ind w:left="3213" w:hanging="420"/>
      </w:pPr>
    </w:lvl>
    <w:lvl w:ilvl="7" w:tentative="0">
      <w:start w:val="1"/>
      <w:numFmt w:val="lowerLetter"/>
      <w:lvlText w:val="%8)"/>
      <w:lvlJc w:val="left"/>
      <w:pPr>
        <w:tabs>
          <w:tab w:val="left" w:pos="3633"/>
        </w:tabs>
        <w:ind w:left="3633" w:hanging="420"/>
      </w:pPr>
    </w:lvl>
    <w:lvl w:ilvl="8" w:tentative="0">
      <w:start w:val="1"/>
      <w:numFmt w:val="lowerRoman"/>
      <w:lvlText w:val="%9."/>
      <w:lvlJc w:val="right"/>
      <w:pPr>
        <w:tabs>
          <w:tab w:val="left" w:pos="4053"/>
        </w:tabs>
        <w:ind w:left="4053" w:hanging="420"/>
      </w:pPr>
    </w:lvl>
  </w:abstractNum>
  <w:abstractNum w:abstractNumId="3">
    <w:nsid w:val="0D4D6A05"/>
    <w:multiLevelType w:val="multilevel"/>
    <w:tmpl w:val="0D4D6A0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DAD57AF"/>
    <w:multiLevelType w:val="multilevel"/>
    <w:tmpl w:val="0DAD57A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36D6885"/>
    <w:multiLevelType w:val="multilevel"/>
    <w:tmpl w:val="136D6885"/>
    <w:lvl w:ilvl="0" w:tentative="0">
      <w:start w:val="1"/>
      <w:numFmt w:val="chineseCountingThousand"/>
      <w:lvlText w:val="%1、"/>
      <w:lvlJc w:val="left"/>
      <w:pPr>
        <w:ind w:left="420" w:hanging="420"/>
      </w:pPr>
      <w:rPr>
        <w:b/>
        <w:bCs/>
      </w:rPr>
    </w:lvl>
    <w:lvl w:ilvl="1" w:tentative="0">
      <w:start w:val="1"/>
      <w:numFmt w:val="japaneseCounting"/>
      <w:lvlText w:val="（%2）"/>
      <w:lvlJc w:val="left"/>
      <w:pPr>
        <w:ind w:left="1185" w:hanging="765"/>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96622E1"/>
    <w:multiLevelType w:val="multilevel"/>
    <w:tmpl w:val="196622E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DBB56D3"/>
    <w:multiLevelType w:val="multilevel"/>
    <w:tmpl w:val="1DBB56D3"/>
    <w:lvl w:ilvl="0" w:tentative="0">
      <w:start w:val="1"/>
      <w:numFmt w:val="lowerLetter"/>
      <w:lvlText w:val="(%1)"/>
      <w:lvlJc w:val="left"/>
      <w:pPr>
        <w:tabs>
          <w:tab w:val="left" w:pos="1215"/>
        </w:tabs>
        <w:ind w:left="1215" w:hanging="375"/>
      </w:pPr>
      <w:rPr>
        <w:rFonts w:hint="default"/>
        <w:b w:val="0"/>
        <w:color w:val="auto"/>
      </w:rPr>
    </w:lvl>
    <w:lvl w:ilvl="1" w:tentative="0">
      <w:start w:val="1"/>
      <w:numFmt w:val="lowerLetter"/>
      <w:lvlText w:val="%2)"/>
      <w:lvlJc w:val="left"/>
      <w:pPr>
        <w:tabs>
          <w:tab w:val="left" w:pos="1113"/>
        </w:tabs>
        <w:ind w:left="1113" w:hanging="420"/>
      </w:pPr>
    </w:lvl>
    <w:lvl w:ilvl="2" w:tentative="0">
      <w:start w:val="1"/>
      <w:numFmt w:val="lowerRoman"/>
      <w:lvlText w:val="%3."/>
      <w:lvlJc w:val="right"/>
      <w:pPr>
        <w:tabs>
          <w:tab w:val="left" w:pos="1533"/>
        </w:tabs>
        <w:ind w:left="1533" w:hanging="420"/>
      </w:pPr>
    </w:lvl>
    <w:lvl w:ilvl="3" w:tentative="0">
      <w:start w:val="1"/>
      <w:numFmt w:val="decimal"/>
      <w:lvlText w:val="%4."/>
      <w:lvlJc w:val="left"/>
      <w:pPr>
        <w:tabs>
          <w:tab w:val="left" w:pos="1953"/>
        </w:tabs>
        <w:ind w:left="1953" w:hanging="420"/>
      </w:pPr>
    </w:lvl>
    <w:lvl w:ilvl="4" w:tentative="0">
      <w:start w:val="1"/>
      <w:numFmt w:val="lowerLetter"/>
      <w:lvlText w:val="%5)"/>
      <w:lvlJc w:val="left"/>
      <w:pPr>
        <w:tabs>
          <w:tab w:val="left" w:pos="2373"/>
        </w:tabs>
        <w:ind w:left="2373" w:hanging="420"/>
      </w:pPr>
    </w:lvl>
    <w:lvl w:ilvl="5" w:tentative="0">
      <w:start w:val="1"/>
      <w:numFmt w:val="lowerRoman"/>
      <w:lvlText w:val="%6."/>
      <w:lvlJc w:val="right"/>
      <w:pPr>
        <w:tabs>
          <w:tab w:val="left" w:pos="2793"/>
        </w:tabs>
        <w:ind w:left="2793" w:hanging="420"/>
      </w:pPr>
    </w:lvl>
    <w:lvl w:ilvl="6" w:tentative="0">
      <w:start w:val="1"/>
      <w:numFmt w:val="decimal"/>
      <w:lvlText w:val="%7."/>
      <w:lvlJc w:val="left"/>
      <w:pPr>
        <w:tabs>
          <w:tab w:val="left" w:pos="3213"/>
        </w:tabs>
        <w:ind w:left="3213" w:hanging="420"/>
      </w:pPr>
    </w:lvl>
    <w:lvl w:ilvl="7" w:tentative="0">
      <w:start w:val="1"/>
      <w:numFmt w:val="lowerLetter"/>
      <w:lvlText w:val="%8)"/>
      <w:lvlJc w:val="left"/>
      <w:pPr>
        <w:tabs>
          <w:tab w:val="left" w:pos="3633"/>
        </w:tabs>
        <w:ind w:left="3633" w:hanging="420"/>
      </w:pPr>
    </w:lvl>
    <w:lvl w:ilvl="8" w:tentative="0">
      <w:start w:val="1"/>
      <w:numFmt w:val="lowerRoman"/>
      <w:lvlText w:val="%9."/>
      <w:lvlJc w:val="right"/>
      <w:pPr>
        <w:tabs>
          <w:tab w:val="left" w:pos="4053"/>
        </w:tabs>
        <w:ind w:left="4053" w:hanging="420"/>
      </w:pPr>
    </w:lvl>
  </w:abstractNum>
  <w:abstractNum w:abstractNumId="8">
    <w:nsid w:val="2185308C"/>
    <w:multiLevelType w:val="multilevel"/>
    <w:tmpl w:val="2185308C"/>
    <w:lvl w:ilvl="0" w:tentative="0">
      <w:start w:val="1"/>
      <w:numFmt w:val="lowerLetter"/>
      <w:lvlText w:val="(%1)"/>
      <w:lvlJc w:val="left"/>
      <w:pPr>
        <w:tabs>
          <w:tab w:val="left" w:pos="1215"/>
        </w:tabs>
        <w:ind w:left="1215" w:hanging="375"/>
      </w:pPr>
      <w:rPr>
        <w:rFonts w:hint="default"/>
        <w:b w:val="0"/>
        <w:color w:val="auto"/>
      </w:rPr>
    </w:lvl>
    <w:lvl w:ilvl="1" w:tentative="0">
      <w:start w:val="1"/>
      <w:numFmt w:val="lowerLetter"/>
      <w:lvlText w:val="%2)"/>
      <w:lvlJc w:val="left"/>
      <w:pPr>
        <w:tabs>
          <w:tab w:val="left" w:pos="1113"/>
        </w:tabs>
        <w:ind w:left="1113" w:hanging="420"/>
      </w:pPr>
    </w:lvl>
    <w:lvl w:ilvl="2" w:tentative="0">
      <w:start w:val="1"/>
      <w:numFmt w:val="lowerRoman"/>
      <w:lvlText w:val="%3."/>
      <w:lvlJc w:val="right"/>
      <w:pPr>
        <w:tabs>
          <w:tab w:val="left" w:pos="1533"/>
        </w:tabs>
        <w:ind w:left="1533" w:hanging="420"/>
      </w:pPr>
    </w:lvl>
    <w:lvl w:ilvl="3" w:tentative="0">
      <w:start w:val="1"/>
      <w:numFmt w:val="decimal"/>
      <w:lvlText w:val="%4."/>
      <w:lvlJc w:val="left"/>
      <w:pPr>
        <w:tabs>
          <w:tab w:val="left" w:pos="1953"/>
        </w:tabs>
        <w:ind w:left="1953" w:hanging="420"/>
      </w:pPr>
    </w:lvl>
    <w:lvl w:ilvl="4" w:tentative="0">
      <w:start w:val="1"/>
      <w:numFmt w:val="lowerLetter"/>
      <w:lvlText w:val="%5)"/>
      <w:lvlJc w:val="left"/>
      <w:pPr>
        <w:tabs>
          <w:tab w:val="left" w:pos="2373"/>
        </w:tabs>
        <w:ind w:left="2373" w:hanging="420"/>
      </w:pPr>
    </w:lvl>
    <w:lvl w:ilvl="5" w:tentative="0">
      <w:start w:val="1"/>
      <w:numFmt w:val="lowerRoman"/>
      <w:lvlText w:val="%6."/>
      <w:lvlJc w:val="right"/>
      <w:pPr>
        <w:tabs>
          <w:tab w:val="left" w:pos="2793"/>
        </w:tabs>
        <w:ind w:left="2793" w:hanging="420"/>
      </w:pPr>
    </w:lvl>
    <w:lvl w:ilvl="6" w:tentative="0">
      <w:start w:val="1"/>
      <w:numFmt w:val="decimal"/>
      <w:lvlText w:val="%7."/>
      <w:lvlJc w:val="left"/>
      <w:pPr>
        <w:tabs>
          <w:tab w:val="left" w:pos="3213"/>
        </w:tabs>
        <w:ind w:left="3213" w:hanging="420"/>
      </w:pPr>
    </w:lvl>
    <w:lvl w:ilvl="7" w:tentative="0">
      <w:start w:val="1"/>
      <w:numFmt w:val="lowerLetter"/>
      <w:lvlText w:val="%8)"/>
      <w:lvlJc w:val="left"/>
      <w:pPr>
        <w:tabs>
          <w:tab w:val="left" w:pos="3633"/>
        </w:tabs>
        <w:ind w:left="3633" w:hanging="420"/>
      </w:pPr>
    </w:lvl>
    <w:lvl w:ilvl="8" w:tentative="0">
      <w:start w:val="1"/>
      <w:numFmt w:val="lowerRoman"/>
      <w:lvlText w:val="%9."/>
      <w:lvlJc w:val="right"/>
      <w:pPr>
        <w:tabs>
          <w:tab w:val="left" w:pos="4053"/>
        </w:tabs>
        <w:ind w:left="4053" w:hanging="420"/>
      </w:pPr>
    </w:lvl>
  </w:abstractNum>
  <w:abstractNum w:abstractNumId="9">
    <w:nsid w:val="24AB6AD7"/>
    <w:multiLevelType w:val="multilevel"/>
    <w:tmpl w:val="24AB6AD7"/>
    <w:lvl w:ilvl="0" w:tentative="0">
      <w:start w:val="1"/>
      <w:numFmt w:val="lowerLetter"/>
      <w:lvlText w:val="(%1)"/>
      <w:lvlJc w:val="left"/>
      <w:pPr>
        <w:tabs>
          <w:tab w:val="left" w:pos="1215"/>
        </w:tabs>
        <w:ind w:left="1215" w:hanging="375"/>
      </w:pPr>
      <w:rPr>
        <w:rFonts w:hint="default" w:ascii="Times New Roman" w:hAnsi="Times New Roman" w:cs="Times New Roman"/>
        <w:b w:val="0"/>
        <w:color w:val="auto"/>
        <w:sz w:val="24"/>
        <w:szCs w:val="24"/>
      </w:rPr>
    </w:lvl>
    <w:lvl w:ilvl="1" w:tentative="0">
      <w:start w:val="1"/>
      <w:numFmt w:val="lowerLetter"/>
      <w:lvlText w:val="%2)"/>
      <w:lvlJc w:val="left"/>
      <w:pPr>
        <w:tabs>
          <w:tab w:val="left" w:pos="1113"/>
        </w:tabs>
        <w:ind w:left="1113" w:hanging="420"/>
      </w:pPr>
    </w:lvl>
    <w:lvl w:ilvl="2" w:tentative="0">
      <w:start w:val="1"/>
      <w:numFmt w:val="lowerRoman"/>
      <w:lvlText w:val="%3."/>
      <w:lvlJc w:val="right"/>
      <w:pPr>
        <w:tabs>
          <w:tab w:val="left" w:pos="1533"/>
        </w:tabs>
        <w:ind w:left="1533" w:hanging="420"/>
      </w:pPr>
    </w:lvl>
    <w:lvl w:ilvl="3" w:tentative="0">
      <w:start w:val="1"/>
      <w:numFmt w:val="decimal"/>
      <w:lvlText w:val="%4."/>
      <w:lvlJc w:val="left"/>
      <w:pPr>
        <w:tabs>
          <w:tab w:val="left" w:pos="1953"/>
        </w:tabs>
        <w:ind w:left="1953" w:hanging="420"/>
      </w:pPr>
    </w:lvl>
    <w:lvl w:ilvl="4" w:tentative="0">
      <w:start w:val="1"/>
      <w:numFmt w:val="lowerLetter"/>
      <w:lvlText w:val="%5)"/>
      <w:lvlJc w:val="left"/>
      <w:pPr>
        <w:tabs>
          <w:tab w:val="left" w:pos="2373"/>
        </w:tabs>
        <w:ind w:left="2373" w:hanging="420"/>
      </w:pPr>
    </w:lvl>
    <w:lvl w:ilvl="5" w:tentative="0">
      <w:start w:val="1"/>
      <w:numFmt w:val="lowerRoman"/>
      <w:lvlText w:val="%6."/>
      <w:lvlJc w:val="right"/>
      <w:pPr>
        <w:tabs>
          <w:tab w:val="left" w:pos="2793"/>
        </w:tabs>
        <w:ind w:left="2793" w:hanging="420"/>
      </w:pPr>
    </w:lvl>
    <w:lvl w:ilvl="6" w:tentative="0">
      <w:start w:val="1"/>
      <w:numFmt w:val="decimal"/>
      <w:lvlText w:val="%7."/>
      <w:lvlJc w:val="left"/>
      <w:pPr>
        <w:tabs>
          <w:tab w:val="left" w:pos="3213"/>
        </w:tabs>
        <w:ind w:left="3213" w:hanging="420"/>
      </w:pPr>
    </w:lvl>
    <w:lvl w:ilvl="7" w:tentative="0">
      <w:start w:val="1"/>
      <w:numFmt w:val="lowerLetter"/>
      <w:lvlText w:val="%8)"/>
      <w:lvlJc w:val="left"/>
      <w:pPr>
        <w:tabs>
          <w:tab w:val="left" w:pos="3633"/>
        </w:tabs>
        <w:ind w:left="3633" w:hanging="420"/>
      </w:pPr>
    </w:lvl>
    <w:lvl w:ilvl="8" w:tentative="0">
      <w:start w:val="1"/>
      <w:numFmt w:val="lowerRoman"/>
      <w:lvlText w:val="%9."/>
      <w:lvlJc w:val="right"/>
      <w:pPr>
        <w:tabs>
          <w:tab w:val="left" w:pos="4053"/>
        </w:tabs>
        <w:ind w:left="4053" w:hanging="420"/>
      </w:pPr>
    </w:lvl>
  </w:abstractNum>
  <w:abstractNum w:abstractNumId="10">
    <w:nsid w:val="25584BC6"/>
    <w:multiLevelType w:val="multilevel"/>
    <w:tmpl w:val="25584BC6"/>
    <w:lvl w:ilvl="0" w:tentative="0">
      <w:start w:val="1"/>
      <w:numFmt w:val="decimal"/>
      <w:lvlText w:val="%1."/>
      <w:lvlJc w:val="left"/>
      <w:pPr>
        <w:tabs>
          <w:tab w:val="left" w:pos="425"/>
        </w:tabs>
        <w:ind w:left="425" w:hanging="425"/>
      </w:pPr>
      <w:rPr>
        <w:b/>
      </w:rPr>
    </w:lvl>
    <w:lvl w:ilvl="1" w:tentative="0">
      <w:start w:val="1"/>
      <w:numFmt w:val="decimal"/>
      <w:lvlText w:val="（%2）"/>
      <w:lvlJc w:val="left"/>
      <w:pPr>
        <w:tabs>
          <w:tab w:val="left" w:pos="720"/>
        </w:tabs>
        <w:ind w:left="720" w:hanging="720"/>
      </w:pPr>
      <w:rPr>
        <w:rFonts w:hint="default" w:ascii="Times New Roman" w:hAnsi="Times New Roman" w:cs="Times New Roman"/>
        <w:b/>
        <w:i w:val="0"/>
        <w:iCs w:val="0"/>
        <w:color w:val="auto"/>
        <w:sz w:val="24"/>
        <w:szCs w:val="24"/>
        <w:lang w:val="en-US"/>
      </w:rPr>
    </w:lvl>
    <w:lvl w:ilvl="2" w:tentative="0">
      <w:start w:val="1"/>
      <w:numFmt w:val="lowerLetter"/>
      <w:lvlText w:val="(%3)"/>
      <w:lvlJc w:val="left"/>
      <w:pPr>
        <w:tabs>
          <w:tab w:val="left" w:pos="420"/>
        </w:tabs>
        <w:ind w:left="420" w:hanging="420"/>
      </w:pPr>
      <w:rPr>
        <w:rFonts w:hint="default"/>
        <w:b w:val="0"/>
        <w:color w:val="auto"/>
      </w:rPr>
    </w:lvl>
    <w:lvl w:ilvl="3" w:tentative="0">
      <w:start w:val="1"/>
      <w:numFmt w:val="decimal"/>
      <w:lvlText w:val="%1.%2.%3.%4."/>
      <w:lvlJc w:val="left"/>
      <w:pPr>
        <w:tabs>
          <w:tab w:val="left" w:pos="851"/>
        </w:tabs>
        <w:ind w:left="851" w:hanging="851"/>
      </w:pPr>
      <w:rPr>
        <w:rFonts w:hint="default" w:ascii="Times New Roman" w:hAnsi="Times New Roman" w:cs="Times New Roman"/>
        <w:b/>
      </w:rPr>
    </w:lvl>
    <w:lvl w:ilvl="4" w:tentative="0">
      <w:start w:val="1"/>
      <w:numFmt w:val="decimal"/>
      <w:lvlText w:val="%1.%2.%3.%4.%5."/>
      <w:lvlJc w:val="left"/>
      <w:pPr>
        <w:tabs>
          <w:tab w:val="left" w:pos="992"/>
        </w:tabs>
        <w:ind w:left="992" w:hanging="992"/>
      </w:pPr>
      <w:rPr>
        <w:b/>
      </w:r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1">
    <w:nsid w:val="28435EAE"/>
    <w:multiLevelType w:val="multilevel"/>
    <w:tmpl w:val="28435EAE"/>
    <w:lvl w:ilvl="0" w:tentative="0">
      <w:start w:val="1"/>
      <w:numFmt w:val="lowerLetter"/>
      <w:lvlText w:val="(%1)"/>
      <w:lvlJc w:val="left"/>
      <w:pPr>
        <w:tabs>
          <w:tab w:val="left" w:pos="1215"/>
        </w:tabs>
        <w:ind w:left="1215" w:hanging="375"/>
      </w:pPr>
      <w:rPr>
        <w:rFonts w:hint="default" w:ascii="Times New Roman" w:hAnsi="Times New Roman" w:cs="Times New Roman"/>
        <w:b w:val="0"/>
        <w:color w:val="auto"/>
        <w:sz w:val="24"/>
        <w:szCs w:val="24"/>
      </w:rPr>
    </w:lvl>
    <w:lvl w:ilvl="1" w:tentative="0">
      <w:start w:val="1"/>
      <w:numFmt w:val="lowerLetter"/>
      <w:lvlText w:val="%2)"/>
      <w:lvlJc w:val="left"/>
      <w:pPr>
        <w:tabs>
          <w:tab w:val="left" w:pos="1113"/>
        </w:tabs>
        <w:ind w:left="1113" w:hanging="420"/>
      </w:pPr>
    </w:lvl>
    <w:lvl w:ilvl="2" w:tentative="0">
      <w:start w:val="1"/>
      <w:numFmt w:val="lowerRoman"/>
      <w:lvlText w:val="%3."/>
      <w:lvlJc w:val="right"/>
      <w:pPr>
        <w:tabs>
          <w:tab w:val="left" w:pos="1533"/>
        </w:tabs>
        <w:ind w:left="1533" w:hanging="420"/>
      </w:pPr>
    </w:lvl>
    <w:lvl w:ilvl="3" w:tentative="0">
      <w:start w:val="1"/>
      <w:numFmt w:val="decimal"/>
      <w:lvlText w:val="%4."/>
      <w:lvlJc w:val="left"/>
      <w:pPr>
        <w:tabs>
          <w:tab w:val="left" w:pos="1953"/>
        </w:tabs>
        <w:ind w:left="1953" w:hanging="420"/>
      </w:pPr>
    </w:lvl>
    <w:lvl w:ilvl="4" w:tentative="0">
      <w:start w:val="1"/>
      <w:numFmt w:val="lowerLetter"/>
      <w:lvlText w:val="%5)"/>
      <w:lvlJc w:val="left"/>
      <w:pPr>
        <w:tabs>
          <w:tab w:val="left" w:pos="2373"/>
        </w:tabs>
        <w:ind w:left="2373" w:hanging="420"/>
      </w:pPr>
    </w:lvl>
    <w:lvl w:ilvl="5" w:tentative="0">
      <w:start w:val="1"/>
      <w:numFmt w:val="lowerRoman"/>
      <w:lvlText w:val="%6."/>
      <w:lvlJc w:val="right"/>
      <w:pPr>
        <w:tabs>
          <w:tab w:val="left" w:pos="2793"/>
        </w:tabs>
        <w:ind w:left="2793" w:hanging="420"/>
      </w:pPr>
    </w:lvl>
    <w:lvl w:ilvl="6" w:tentative="0">
      <w:start w:val="1"/>
      <w:numFmt w:val="decimal"/>
      <w:lvlText w:val="%7."/>
      <w:lvlJc w:val="left"/>
      <w:pPr>
        <w:tabs>
          <w:tab w:val="left" w:pos="3213"/>
        </w:tabs>
        <w:ind w:left="3213" w:hanging="420"/>
      </w:pPr>
    </w:lvl>
    <w:lvl w:ilvl="7" w:tentative="0">
      <w:start w:val="1"/>
      <w:numFmt w:val="lowerLetter"/>
      <w:lvlText w:val="%8)"/>
      <w:lvlJc w:val="left"/>
      <w:pPr>
        <w:tabs>
          <w:tab w:val="left" w:pos="3633"/>
        </w:tabs>
        <w:ind w:left="3633" w:hanging="420"/>
      </w:pPr>
    </w:lvl>
    <w:lvl w:ilvl="8" w:tentative="0">
      <w:start w:val="1"/>
      <w:numFmt w:val="lowerRoman"/>
      <w:lvlText w:val="%9."/>
      <w:lvlJc w:val="right"/>
      <w:pPr>
        <w:tabs>
          <w:tab w:val="left" w:pos="4053"/>
        </w:tabs>
        <w:ind w:left="4053" w:hanging="420"/>
      </w:pPr>
    </w:lvl>
  </w:abstractNum>
  <w:abstractNum w:abstractNumId="12">
    <w:nsid w:val="3A1E422D"/>
    <w:multiLevelType w:val="multilevel"/>
    <w:tmpl w:val="3A1E422D"/>
    <w:lvl w:ilvl="0" w:tentative="0">
      <w:start w:val="1"/>
      <w:numFmt w:val="lowerLetter"/>
      <w:lvlText w:val="(%1)"/>
      <w:lvlJc w:val="left"/>
      <w:pPr>
        <w:tabs>
          <w:tab w:val="left" w:pos="1215"/>
        </w:tabs>
        <w:ind w:left="1215" w:hanging="375"/>
      </w:pPr>
      <w:rPr>
        <w:rFonts w:hint="default"/>
        <w:b w:val="0"/>
        <w:color w:val="auto"/>
      </w:rPr>
    </w:lvl>
    <w:lvl w:ilvl="1" w:tentative="0">
      <w:start w:val="1"/>
      <w:numFmt w:val="lowerLetter"/>
      <w:lvlText w:val="%2)"/>
      <w:lvlJc w:val="left"/>
      <w:pPr>
        <w:tabs>
          <w:tab w:val="left" w:pos="1113"/>
        </w:tabs>
        <w:ind w:left="1113" w:hanging="420"/>
      </w:pPr>
    </w:lvl>
    <w:lvl w:ilvl="2" w:tentative="0">
      <w:start w:val="1"/>
      <w:numFmt w:val="lowerRoman"/>
      <w:lvlText w:val="%3."/>
      <w:lvlJc w:val="right"/>
      <w:pPr>
        <w:tabs>
          <w:tab w:val="left" w:pos="1533"/>
        </w:tabs>
        <w:ind w:left="1533" w:hanging="420"/>
      </w:pPr>
    </w:lvl>
    <w:lvl w:ilvl="3" w:tentative="0">
      <w:start w:val="1"/>
      <w:numFmt w:val="decimal"/>
      <w:lvlText w:val="%4."/>
      <w:lvlJc w:val="left"/>
      <w:pPr>
        <w:tabs>
          <w:tab w:val="left" w:pos="1953"/>
        </w:tabs>
        <w:ind w:left="1953" w:hanging="420"/>
      </w:pPr>
    </w:lvl>
    <w:lvl w:ilvl="4" w:tentative="0">
      <w:start w:val="1"/>
      <w:numFmt w:val="lowerLetter"/>
      <w:lvlText w:val="%5)"/>
      <w:lvlJc w:val="left"/>
      <w:pPr>
        <w:tabs>
          <w:tab w:val="left" w:pos="2373"/>
        </w:tabs>
        <w:ind w:left="2373" w:hanging="420"/>
      </w:pPr>
    </w:lvl>
    <w:lvl w:ilvl="5" w:tentative="0">
      <w:start w:val="1"/>
      <w:numFmt w:val="lowerRoman"/>
      <w:lvlText w:val="%6."/>
      <w:lvlJc w:val="right"/>
      <w:pPr>
        <w:tabs>
          <w:tab w:val="left" w:pos="2793"/>
        </w:tabs>
        <w:ind w:left="2793" w:hanging="420"/>
      </w:pPr>
    </w:lvl>
    <w:lvl w:ilvl="6" w:tentative="0">
      <w:start w:val="1"/>
      <w:numFmt w:val="decimal"/>
      <w:lvlText w:val="%7."/>
      <w:lvlJc w:val="left"/>
      <w:pPr>
        <w:tabs>
          <w:tab w:val="left" w:pos="3213"/>
        </w:tabs>
        <w:ind w:left="3213" w:hanging="420"/>
      </w:pPr>
    </w:lvl>
    <w:lvl w:ilvl="7" w:tentative="0">
      <w:start w:val="1"/>
      <w:numFmt w:val="lowerLetter"/>
      <w:lvlText w:val="%8)"/>
      <w:lvlJc w:val="left"/>
      <w:pPr>
        <w:tabs>
          <w:tab w:val="left" w:pos="3633"/>
        </w:tabs>
        <w:ind w:left="3633" w:hanging="420"/>
      </w:pPr>
    </w:lvl>
    <w:lvl w:ilvl="8" w:tentative="0">
      <w:start w:val="1"/>
      <w:numFmt w:val="lowerRoman"/>
      <w:lvlText w:val="%9."/>
      <w:lvlJc w:val="right"/>
      <w:pPr>
        <w:tabs>
          <w:tab w:val="left" w:pos="4053"/>
        </w:tabs>
        <w:ind w:left="4053" w:hanging="420"/>
      </w:pPr>
    </w:lvl>
  </w:abstractNum>
  <w:abstractNum w:abstractNumId="13">
    <w:nsid w:val="3CA2648F"/>
    <w:multiLevelType w:val="multilevel"/>
    <w:tmpl w:val="3CA2648F"/>
    <w:lvl w:ilvl="0" w:tentative="0">
      <w:start w:val="1"/>
      <w:numFmt w:val="lowerLetter"/>
      <w:lvlText w:val="(%1)"/>
      <w:lvlJc w:val="left"/>
      <w:pPr>
        <w:tabs>
          <w:tab w:val="left" w:pos="1215"/>
        </w:tabs>
        <w:ind w:left="1215" w:hanging="375"/>
      </w:pPr>
      <w:rPr>
        <w:rFonts w:hint="default" w:ascii="Times New Roman" w:hAnsi="Times New Roman" w:cs="Times New Roman"/>
        <w:b w:val="0"/>
        <w:color w:val="auto"/>
        <w:sz w:val="24"/>
        <w:szCs w:val="24"/>
      </w:rPr>
    </w:lvl>
    <w:lvl w:ilvl="1" w:tentative="0">
      <w:start w:val="1"/>
      <w:numFmt w:val="lowerLetter"/>
      <w:lvlText w:val="%2)"/>
      <w:lvlJc w:val="left"/>
      <w:pPr>
        <w:tabs>
          <w:tab w:val="left" w:pos="1113"/>
        </w:tabs>
        <w:ind w:left="1113" w:hanging="420"/>
      </w:pPr>
    </w:lvl>
    <w:lvl w:ilvl="2" w:tentative="0">
      <w:start w:val="1"/>
      <w:numFmt w:val="lowerRoman"/>
      <w:lvlText w:val="%3."/>
      <w:lvlJc w:val="right"/>
      <w:pPr>
        <w:tabs>
          <w:tab w:val="left" w:pos="1533"/>
        </w:tabs>
        <w:ind w:left="1533" w:hanging="420"/>
      </w:pPr>
    </w:lvl>
    <w:lvl w:ilvl="3" w:tentative="0">
      <w:start w:val="1"/>
      <w:numFmt w:val="decimal"/>
      <w:lvlText w:val="%4."/>
      <w:lvlJc w:val="left"/>
      <w:pPr>
        <w:tabs>
          <w:tab w:val="left" w:pos="1953"/>
        </w:tabs>
        <w:ind w:left="1953" w:hanging="420"/>
      </w:pPr>
    </w:lvl>
    <w:lvl w:ilvl="4" w:tentative="0">
      <w:start w:val="1"/>
      <w:numFmt w:val="lowerLetter"/>
      <w:lvlText w:val="%5)"/>
      <w:lvlJc w:val="left"/>
      <w:pPr>
        <w:tabs>
          <w:tab w:val="left" w:pos="2373"/>
        </w:tabs>
        <w:ind w:left="2373" w:hanging="420"/>
      </w:pPr>
    </w:lvl>
    <w:lvl w:ilvl="5" w:tentative="0">
      <w:start w:val="1"/>
      <w:numFmt w:val="lowerRoman"/>
      <w:lvlText w:val="%6."/>
      <w:lvlJc w:val="right"/>
      <w:pPr>
        <w:tabs>
          <w:tab w:val="left" w:pos="2793"/>
        </w:tabs>
        <w:ind w:left="2793" w:hanging="420"/>
      </w:pPr>
    </w:lvl>
    <w:lvl w:ilvl="6" w:tentative="0">
      <w:start w:val="1"/>
      <w:numFmt w:val="decimal"/>
      <w:lvlText w:val="%7."/>
      <w:lvlJc w:val="left"/>
      <w:pPr>
        <w:tabs>
          <w:tab w:val="left" w:pos="3213"/>
        </w:tabs>
        <w:ind w:left="3213" w:hanging="420"/>
      </w:pPr>
    </w:lvl>
    <w:lvl w:ilvl="7" w:tentative="0">
      <w:start w:val="1"/>
      <w:numFmt w:val="lowerLetter"/>
      <w:lvlText w:val="%8)"/>
      <w:lvlJc w:val="left"/>
      <w:pPr>
        <w:tabs>
          <w:tab w:val="left" w:pos="3633"/>
        </w:tabs>
        <w:ind w:left="3633" w:hanging="420"/>
      </w:pPr>
    </w:lvl>
    <w:lvl w:ilvl="8" w:tentative="0">
      <w:start w:val="1"/>
      <w:numFmt w:val="lowerRoman"/>
      <w:lvlText w:val="%9."/>
      <w:lvlJc w:val="right"/>
      <w:pPr>
        <w:tabs>
          <w:tab w:val="left" w:pos="4053"/>
        </w:tabs>
        <w:ind w:left="4053" w:hanging="420"/>
      </w:pPr>
    </w:lvl>
  </w:abstractNum>
  <w:abstractNum w:abstractNumId="14">
    <w:nsid w:val="40937C4E"/>
    <w:multiLevelType w:val="multilevel"/>
    <w:tmpl w:val="40937C4E"/>
    <w:lvl w:ilvl="0" w:tentative="0">
      <w:start w:val="1"/>
      <w:numFmt w:val="lowerLetter"/>
      <w:lvlText w:val="(%1)"/>
      <w:lvlJc w:val="left"/>
      <w:pPr>
        <w:tabs>
          <w:tab w:val="left" w:pos="1215"/>
        </w:tabs>
        <w:ind w:left="1215" w:hanging="375"/>
      </w:pPr>
      <w:rPr>
        <w:rFonts w:hint="default"/>
        <w:b w:val="0"/>
        <w:color w:val="auto"/>
      </w:rPr>
    </w:lvl>
    <w:lvl w:ilvl="1" w:tentative="0">
      <w:start w:val="1"/>
      <w:numFmt w:val="lowerLetter"/>
      <w:lvlText w:val="%2)"/>
      <w:lvlJc w:val="left"/>
      <w:pPr>
        <w:tabs>
          <w:tab w:val="left" w:pos="1113"/>
        </w:tabs>
        <w:ind w:left="1113" w:hanging="420"/>
      </w:pPr>
    </w:lvl>
    <w:lvl w:ilvl="2" w:tentative="0">
      <w:start w:val="1"/>
      <w:numFmt w:val="lowerRoman"/>
      <w:lvlText w:val="%3."/>
      <w:lvlJc w:val="right"/>
      <w:pPr>
        <w:tabs>
          <w:tab w:val="left" w:pos="1533"/>
        </w:tabs>
        <w:ind w:left="1533" w:hanging="420"/>
      </w:pPr>
    </w:lvl>
    <w:lvl w:ilvl="3" w:tentative="0">
      <w:start w:val="1"/>
      <w:numFmt w:val="decimal"/>
      <w:lvlText w:val="%4."/>
      <w:lvlJc w:val="left"/>
      <w:pPr>
        <w:tabs>
          <w:tab w:val="left" w:pos="1953"/>
        </w:tabs>
        <w:ind w:left="1953" w:hanging="420"/>
      </w:pPr>
    </w:lvl>
    <w:lvl w:ilvl="4" w:tentative="0">
      <w:start w:val="1"/>
      <w:numFmt w:val="lowerLetter"/>
      <w:lvlText w:val="%5)"/>
      <w:lvlJc w:val="left"/>
      <w:pPr>
        <w:tabs>
          <w:tab w:val="left" w:pos="2373"/>
        </w:tabs>
        <w:ind w:left="2373" w:hanging="420"/>
      </w:pPr>
    </w:lvl>
    <w:lvl w:ilvl="5" w:tentative="0">
      <w:start w:val="1"/>
      <w:numFmt w:val="lowerRoman"/>
      <w:lvlText w:val="%6."/>
      <w:lvlJc w:val="right"/>
      <w:pPr>
        <w:tabs>
          <w:tab w:val="left" w:pos="2793"/>
        </w:tabs>
        <w:ind w:left="2793" w:hanging="420"/>
      </w:pPr>
    </w:lvl>
    <w:lvl w:ilvl="6" w:tentative="0">
      <w:start w:val="1"/>
      <w:numFmt w:val="decimal"/>
      <w:lvlText w:val="%7."/>
      <w:lvlJc w:val="left"/>
      <w:pPr>
        <w:tabs>
          <w:tab w:val="left" w:pos="3213"/>
        </w:tabs>
        <w:ind w:left="3213" w:hanging="420"/>
      </w:pPr>
    </w:lvl>
    <w:lvl w:ilvl="7" w:tentative="0">
      <w:start w:val="1"/>
      <w:numFmt w:val="lowerLetter"/>
      <w:lvlText w:val="%8)"/>
      <w:lvlJc w:val="left"/>
      <w:pPr>
        <w:tabs>
          <w:tab w:val="left" w:pos="3633"/>
        </w:tabs>
        <w:ind w:left="3633" w:hanging="420"/>
      </w:pPr>
    </w:lvl>
    <w:lvl w:ilvl="8" w:tentative="0">
      <w:start w:val="1"/>
      <w:numFmt w:val="lowerRoman"/>
      <w:lvlText w:val="%9."/>
      <w:lvlJc w:val="right"/>
      <w:pPr>
        <w:tabs>
          <w:tab w:val="left" w:pos="4053"/>
        </w:tabs>
        <w:ind w:left="4053" w:hanging="420"/>
      </w:pPr>
    </w:lvl>
  </w:abstractNum>
  <w:abstractNum w:abstractNumId="15">
    <w:nsid w:val="4261417D"/>
    <w:multiLevelType w:val="multilevel"/>
    <w:tmpl w:val="4261417D"/>
    <w:lvl w:ilvl="0" w:tentative="0">
      <w:start w:val="1"/>
      <w:numFmt w:val="japaneseCounting"/>
      <w:lvlText w:val="（%1）"/>
      <w:lvlJc w:val="left"/>
      <w:pPr>
        <w:ind w:left="420" w:hanging="420"/>
      </w:pPr>
      <w:rPr>
        <w:rFonts w:hint="eastAsia" w:ascii="楷体_GB2312" w:eastAsia="楷体_GB2312"/>
        <w:b/>
        <w:bCs/>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444D03A4"/>
    <w:multiLevelType w:val="multilevel"/>
    <w:tmpl w:val="444D03A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5482689"/>
    <w:multiLevelType w:val="multilevel"/>
    <w:tmpl w:val="45482689"/>
    <w:lvl w:ilvl="0" w:tentative="0">
      <w:start w:val="1"/>
      <w:numFmt w:val="lowerLetter"/>
      <w:lvlText w:val="(%1)"/>
      <w:lvlJc w:val="left"/>
      <w:pPr>
        <w:tabs>
          <w:tab w:val="left" w:pos="1215"/>
        </w:tabs>
        <w:ind w:left="1215" w:hanging="375"/>
      </w:pPr>
      <w:rPr>
        <w:rFonts w:hint="default"/>
        <w:b w:val="0"/>
        <w:color w:val="auto"/>
      </w:rPr>
    </w:lvl>
    <w:lvl w:ilvl="1" w:tentative="0">
      <w:start w:val="1"/>
      <w:numFmt w:val="lowerLetter"/>
      <w:lvlText w:val="%2)"/>
      <w:lvlJc w:val="left"/>
      <w:pPr>
        <w:tabs>
          <w:tab w:val="left" w:pos="1113"/>
        </w:tabs>
        <w:ind w:left="1113" w:hanging="420"/>
      </w:pPr>
    </w:lvl>
    <w:lvl w:ilvl="2" w:tentative="0">
      <w:start w:val="1"/>
      <w:numFmt w:val="lowerRoman"/>
      <w:lvlText w:val="%3."/>
      <w:lvlJc w:val="right"/>
      <w:pPr>
        <w:tabs>
          <w:tab w:val="left" w:pos="1533"/>
        </w:tabs>
        <w:ind w:left="1533" w:hanging="420"/>
      </w:pPr>
    </w:lvl>
    <w:lvl w:ilvl="3" w:tentative="0">
      <w:start w:val="1"/>
      <w:numFmt w:val="decimal"/>
      <w:lvlText w:val="%4."/>
      <w:lvlJc w:val="left"/>
      <w:pPr>
        <w:tabs>
          <w:tab w:val="left" w:pos="1953"/>
        </w:tabs>
        <w:ind w:left="1953" w:hanging="420"/>
      </w:pPr>
    </w:lvl>
    <w:lvl w:ilvl="4" w:tentative="0">
      <w:start w:val="1"/>
      <w:numFmt w:val="lowerLetter"/>
      <w:lvlText w:val="%5)"/>
      <w:lvlJc w:val="left"/>
      <w:pPr>
        <w:tabs>
          <w:tab w:val="left" w:pos="2373"/>
        </w:tabs>
        <w:ind w:left="2373" w:hanging="420"/>
      </w:pPr>
    </w:lvl>
    <w:lvl w:ilvl="5" w:tentative="0">
      <w:start w:val="1"/>
      <w:numFmt w:val="lowerRoman"/>
      <w:lvlText w:val="%6."/>
      <w:lvlJc w:val="right"/>
      <w:pPr>
        <w:tabs>
          <w:tab w:val="left" w:pos="2793"/>
        </w:tabs>
        <w:ind w:left="2793" w:hanging="420"/>
      </w:pPr>
    </w:lvl>
    <w:lvl w:ilvl="6" w:tentative="0">
      <w:start w:val="1"/>
      <w:numFmt w:val="decimal"/>
      <w:lvlText w:val="%7."/>
      <w:lvlJc w:val="left"/>
      <w:pPr>
        <w:tabs>
          <w:tab w:val="left" w:pos="3213"/>
        </w:tabs>
        <w:ind w:left="3213" w:hanging="420"/>
      </w:pPr>
    </w:lvl>
    <w:lvl w:ilvl="7" w:tentative="0">
      <w:start w:val="1"/>
      <w:numFmt w:val="lowerLetter"/>
      <w:lvlText w:val="%8)"/>
      <w:lvlJc w:val="left"/>
      <w:pPr>
        <w:tabs>
          <w:tab w:val="left" w:pos="3633"/>
        </w:tabs>
        <w:ind w:left="3633" w:hanging="420"/>
      </w:pPr>
    </w:lvl>
    <w:lvl w:ilvl="8" w:tentative="0">
      <w:start w:val="1"/>
      <w:numFmt w:val="lowerRoman"/>
      <w:lvlText w:val="%9."/>
      <w:lvlJc w:val="right"/>
      <w:pPr>
        <w:tabs>
          <w:tab w:val="left" w:pos="4053"/>
        </w:tabs>
        <w:ind w:left="4053" w:hanging="420"/>
      </w:pPr>
    </w:lvl>
  </w:abstractNum>
  <w:abstractNum w:abstractNumId="18">
    <w:nsid w:val="49602BBB"/>
    <w:multiLevelType w:val="multilevel"/>
    <w:tmpl w:val="49602BBB"/>
    <w:lvl w:ilvl="0" w:tentative="0">
      <w:start w:val="1"/>
      <w:numFmt w:val="lowerLetter"/>
      <w:lvlText w:val="(%1)"/>
      <w:lvlJc w:val="left"/>
      <w:pPr>
        <w:tabs>
          <w:tab w:val="left" w:pos="1215"/>
        </w:tabs>
        <w:ind w:left="1215" w:hanging="375"/>
      </w:pPr>
      <w:rPr>
        <w:rFonts w:hint="default"/>
        <w:b w:val="0"/>
        <w:color w:val="auto"/>
      </w:rPr>
    </w:lvl>
    <w:lvl w:ilvl="1" w:tentative="0">
      <w:start w:val="1"/>
      <w:numFmt w:val="lowerLetter"/>
      <w:lvlText w:val="%2)"/>
      <w:lvlJc w:val="left"/>
      <w:pPr>
        <w:tabs>
          <w:tab w:val="left" w:pos="1113"/>
        </w:tabs>
        <w:ind w:left="1113" w:hanging="420"/>
      </w:pPr>
    </w:lvl>
    <w:lvl w:ilvl="2" w:tentative="0">
      <w:start w:val="1"/>
      <w:numFmt w:val="lowerRoman"/>
      <w:lvlText w:val="%3."/>
      <w:lvlJc w:val="right"/>
      <w:pPr>
        <w:tabs>
          <w:tab w:val="left" w:pos="1533"/>
        </w:tabs>
        <w:ind w:left="1533" w:hanging="420"/>
      </w:pPr>
    </w:lvl>
    <w:lvl w:ilvl="3" w:tentative="0">
      <w:start w:val="1"/>
      <w:numFmt w:val="decimal"/>
      <w:lvlText w:val="%4."/>
      <w:lvlJc w:val="left"/>
      <w:pPr>
        <w:tabs>
          <w:tab w:val="left" w:pos="1953"/>
        </w:tabs>
        <w:ind w:left="1953" w:hanging="420"/>
      </w:pPr>
    </w:lvl>
    <w:lvl w:ilvl="4" w:tentative="0">
      <w:start w:val="1"/>
      <w:numFmt w:val="lowerLetter"/>
      <w:lvlText w:val="%5)"/>
      <w:lvlJc w:val="left"/>
      <w:pPr>
        <w:tabs>
          <w:tab w:val="left" w:pos="2373"/>
        </w:tabs>
        <w:ind w:left="2373" w:hanging="420"/>
      </w:pPr>
    </w:lvl>
    <w:lvl w:ilvl="5" w:tentative="0">
      <w:start w:val="1"/>
      <w:numFmt w:val="lowerRoman"/>
      <w:lvlText w:val="%6."/>
      <w:lvlJc w:val="right"/>
      <w:pPr>
        <w:tabs>
          <w:tab w:val="left" w:pos="2793"/>
        </w:tabs>
        <w:ind w:left="2793" w:hanging="420"/>
      </w:pPr>
    </w:lvl>
    <w:lvl w:ilvl="6" w:tentative="0">
      <w:start w:val="1"/>
      <w:numFmt w:val="decimal"/>
      <w:lvlText w:val="%7."/>
      <w:lvlJc w:val="left"/>
      <w:pPr>
        <w:tabs>
          <w:tab w:val="left" w:pos="3213"/>
        </w:tabs>
        <w:ind w:left="3213" w:hanging="420"/>
      </w:pPr>
    </w:lvl>
    <w:lvl w:ilvl="7" w:tentative="0">
      <w:start w:val="1"/>
      <w:numFmt w:val="lowerLetter"/>
      <w:lvlText w:val="%8)"/>
      <w:lvlJc w:val="left"/>
      <w:pPr>
        <w:tabs>
          <w:tab w:val="left" w:pos="3633"/>
        </w:tabs>
        <w:ind w:left="3633" w:hanging="420"/>
      </w:pPr>
    </w:lvl>
    <w:lvl w:ilvl="8" w:tentative="0">
      <w:start w:val="1"/>
      <w:numFmt w:val="lowerRoman"/>
      <w:lvlText w:val="%9."/>
      <w:lvlJc w:val="right"/>
      <w:pPr>
        <w:tabs>
          <w:tab w:val="left" w:pos="4053"/>
        </w:tabs>
        <w:ind w:left="4053" w:hanging="420"/>
      </w:pPr>
    </w:lvl>
  </w:abstractNum>
  <w:abstractNum w:abstractNumId="19">
    <w:nsid w:val="554B75D1"/>
    <w:multiLevelType w:val="multilevel"/>
    <w:tmpl w:val="554B75D1"/>
    <w:lvl w:ilvl="0" w:tentative="0">
      <w:start w:val="1"/>
      <w:numFmt w:val="lowerLetter"/>
      <w:lvlText w:val="(%1)"/>
      <w:lvlJc w:val="left"/>
      <w:pPr>
        <w:tabs>
          <w:tab w:val="left" w:pos="1215"/>
        </w:tabs>
        <w:ind w:left="1215" w:hanging="375"/>
      </w:pPr>
      <w:rPr>
        <w:rFonts w:hint="default"/>
        <w:b w:val="0"/>
        <w:color w:val="auto"/>
      </w:rPr>
    </w:lvl>
    <w:lvl w:ilvl="1" w:tentative="0">
      <w:start w:val="1"/>
      <w:numFmt w:val="lowerLetter"/>
      <w:lvlText w:val="%2)"/>
      <w:lvlJc w:val="left"/>
      <w:pPr>
        <w:tabs>
          <w:tab w:val="left" w:pos="1113"/>
        </w:tabs>
        <w:ind w:left="1113" w:hanging="420"/>
      </w:pPr>
    </w:lvl>
    <w:lvl w:ilvl="2" w:tentative="0">
      <w:start w:val="1"/>
      <w:numFmt w:val="lowerRoman"/>
      <w:lvlText w:val="%3."/>
      <w:lvlJc w:val="right"/>
      <w:pPr>
        <w:tabs>
          <w:tab w:val="left" w:pos="1533"/>
        </w:tabs>
        <w:ind w:left="1533" w:hanging="420"/>
      </w:pPr>
    </w:lvl>
    <w:lvl w:ilvl="3" w:tentative="0">
      <w:start w:val="1"/>
      <w:numFmt w:val="decimal"/>
      <w:lvlText w:val="%4."/>
      <w:lvlJc w:val="left"/>
      <w:pPr>
        <w:tabs>
          <w:tab w:val="left" w:pos="1953"/>
        </w:tabs>
        <w:ind w:left="1953" w:hanging="420"/>
      </w:pPr>
    </w:lvl>
    <w:lvl w:ilvl="4" w:tentative="0">
      <w:start w:val="1"/>
      <w:numFmt w:val="lowerLetter"/>
      <w:lvlText w:val="%5)"/>
      <w:lvlJc w:val="left"/>
      <w:pPr>
        <w:tabs>
          <w:tab w:val="left" w:pos="2373"/>
        </w:tabs>
        <w:ind w:left="2373" w:hanging="420"/>
      </w:pPr>
    </w:lvl>
    <w:lvl w:ilvl="5" w:tentative="0">
      <w:start w:val="1"/>
      <w:numFmt w:val="lowerRoman"/>
      <w:lvlText w:val="%6."/>
      <w:lvlJc w:val="right"/>
      <w:pPr>
        <w:tabs>
          <w:tab w:val="left" w:pos="2793"/>
        </w:tabs>
        <w:ind w:left="2793" w:hanging="420"/>
      </w:pPr>
    </w:lvl>
    <w:lvl w:ilvl="6" w:tentative="0">
      <w:start w:val="1"/>
      <w:numFmt w:val="decimal"/>
      <w:lvlText w:val="%7."/>
      <w:lvlJc w:val="left"/>
      <w:pPr>
        <w:tabs>
          <w:tab w:val="left" w:pos="3213"/>
        </w:tabs>
        <w:ind w:left="3213" w:hanging="420"/>
      </w:pPr>
    </w:lvl>
    <w:lvl w:ilvl="7" w:tentative="0">
      <w:start w:val="1"/>
      <w:numFmt w:val="lowerLetter"/>
      <w:lvlText w:val="%8)"/>
      <w:lvlJc w:val="left"/>
      <w:pPr>
        <w:tabs>
          <w:tab w:val="left" w:pos="3633"/>
        </w:tabs>
        <w:ind w:left="3633" w:hanging="420"/>
      </w:pPr>
    </w:lvl>
    <w:lvl w:ilvl="8" w:tentative="0">
      <w:start w:val="1"/>
      <w:numFmt w:val="lowerRoman"/>
      <w:lvlText w:val="%9."/>
      <w:lvlJc w:val="right"/>
      <w:pPr>
        <w:tabs>
          <w:tab w:val="left" w:pos="4053"/>
        </w:tabs>
        <w:ind w:left="4053" w:hanging="420"/>
      </w:pPr>
    </w:lvl>
  </w:abstractNum>
  <w:abstractNum w:abstractNumId="20">
    <w:nsid w:val="597E7E3A"/>
    <w:multiLevelType w:val="multilevel"/>
    <w:tmpl w:val="597E7E3A"/>
    <w:lvl w:ilvl="0" w:tentative="0">
      <w:start w:val="1"/>
      <w:numFmt w:val="lowerLetter"/>
      <w:lvlText w:val="(%1)"/>
      <w:lvlJc w:val="left"/>
      <w:pPr>
        <w:tabs>
          <w:tab w:val="left" w:pos="942"/>
        </w:tabs>
        <w:ind w:left="942" w:hanging="375"/>
      </w:pPr>
      <w:rPr>
        <w:rFonts w:hint="default"/>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5F421F94"/>
    <w:multiLevelType w:val="multilevel"/>
    <w:tmpl w:val="5F421F94"/>
    <w:lvl w:ilvl="0" w:tentative="0">
      <w:start w:val="1"/>
      <w:numFmt w:val="lowerLetter"/>
      <w:lvlText w:val="(%1)"/>
      <w:lvlJc w:val="left"/>
      <w:pPr>
        <w:tabs>
          <w:tab w:val="left" w:pos="1215"/>
        </w:tabs>
        <w:ind w:left="1215" w:hanging="375"/>
      </w:pPr>
      <w:rPr>
        <w:rFonts w:hint="default"/>
        <w:b w:val="0"/>
        <w:color w:val="auto"/>
      </w:rPr>
    </w:lvl>
    <w:lvl w:ilvl="1" w:tentative="0">
      <w:start w:val="1"/>
      <w:numFmt w:val="lowerLetter"/>
      <w:lvlText w:val="%2)"/>
      <w:lvlJc w:val="left"/>
      <w:pPr>
        <w:tabs>
          <w:tab w:val="left" w:pos="1113"/>
        </w:tabs>
        <w:ind w:left="1113" w:hanging="420"/>
      </w:pPr>
    </w:lvl>
    <w:lvl w:ilvl="2" w:tentative="0">
      <w:start w:val="1"/>
      <w:numFmt w:val="lowerRoman"/>
      <w:lvlText w:val="%3."/>
      <w:lvlJc w:val="right"/>
      <w:pPr>
        <w:tabs>
          <w:tab w:val="left" w:pos="1533"/>
        </w:tabs>
        <w:ind w:left="1533" w:hanging="420"/>
      </w:pPr>
    </w:lvl>
    <w:lvl w:ilvl="3" w:tentative="0">
      <w:start w:val="1"/>
      <w:numFmt w:val="decimal"/>
      <w:lvlText w:val="%4."/>
      <w:lvlJc w:val="left"/>
      <w:pPr>
        <w:tabs>
          <w:tab w:val="left" w:pos="1953"/>
        </w:tabs>
        <w:ind w:left="1953" w:hanging="420"/>
      </w:pPr>
    </w:lvl>
    <w:lvl w:ilvl="4" w:tentative="0">
      <w:start w:val="1"/>
      <w:numFmt w:val="lowerLetter"/>
      <w:lvlText w:val="%5)"/>
      <w:lvlJc w:val="left"/>
      <w:pPr>
        <w:tabs>
          <w:tab w:val="left" w:pos="2373"/>
        </w:tabs>
        <w:ind w:left="2373" w:hanging="420"/>
      </w:pPr>
    </w:lvl>
    <w:lvl w:ilvl="5" w:tentative="0">
      <w:start w:val="1"/>
      <w:numFmt w:val="lowerRoman"/>
      <w:lvlText w:val="%6."/>
      <w:lvlJc w:val="right"/>
      <w:pPr>
        <w:tabs>
          <w:tab w:val="left" w:pos="2793"/>
        </w:tabs>
        <w:ind w:left="2793" w:hanging="420"/>
      </w:pPr>
    </w:lvl>
    <w:lvl w:ilvl="6" w:tentative="0">
      <w:start w:val="1"/>
      <w:numFmt w:val="decimal"/>
      <w:lvlText w:val="%7."/>
      <w:lvlJc w:val="left"/>
      <w:pPr>
        <w:tabs>
          <w:tab w:val="left" w:pos="3213"/>
        </w:tabs>
        <w:ind w:left="3213" w:hanging="420"/>
      </w:pPr>
    </w:lvl>
    <w:lvl w:ilvl="7" w:tentative="0">
      <w:start w:val="1"/>
      <w:numFmt w:val="lowerLetter"/>
      <w:lvlText w:val="%8)"/>
      <w:lvlJc w:val="left"/>
      <w:pPr>
        <w:tabs>
          <w:tab w:val="left" w:pos="3633"/>
        </w:tabs>
        <w:ind w:left="3633" w:hanging="420"/>
      </w:pPr>
    </w:lvl>
    <w:lvl w:ilvl="8" w:tentative="0">
      <w:start w:val="1"/>
      <w:numFmt w:val="lowerRoman"/>
      <w:lvlText w:val="%9."/>
      <w:lvlJc w:val="right"/>
      <w:pPr>
        <w:tabs>
          <w:tab w:val="left" w:pos="4053"/>
        </w:tabs>
        <w:ind w:left="4053" w:hanging="420"/>
      </w:pPr>
    </w:lvl>
  </w:abstractNum>
  <w:abstractNum w:abstractNumId="22">
    <w:nsid w:val="64B83179"/>
    <w:multiLevelType w:val="multilevel"/>
    <w:tmpl w:val="64B83179"/>
    <w:lvl w:ilvl="0" w:tentative="0">
      <w:start w:val="1"/>
      <w:numFmt w:val="lowerLetter"/>
      <w:lvlText w:val="(%1)"/>
      <w:lvlJc w:val="left"/>
      <w:pPr>
        <w:tabs>
          <w:tab w:val="left" w:pos="1215"/>
        </w:tabs>
        <w:ind w:left="1215" w:hanging="375"/>
      </w:pPr>
      <w:rPr>
        <w:rFonts w:hint="default"/>
        <w:b w:val="0"/>
        <w:color w:val="auto"/>
      </w:rPr>
    </w:lvl>
    <w:lvl w:ilvl="1" w:tentative="0">
      <w:start w:val="1"/>
      <w:numFmt w:val="lowerLetter"/>
      <w:lvlText w:val="%2)"/>
      <w:lvlJc w:val="left"/>
      <w:pPr>
        <w:tabs>
          <w:tab w:val="left" w:pos="1113"/>
        </w:tabs>
        <w:ind w:left="1113" w:hanging="420"/>
      </w:pPr>
    </w:lvl>
    <w:lvl w:ilvl="2" w:tentative="0">
      <w:start w:val="1"/>
      <w:numFmt w:val="lowerRoman"/>
      <w:lvlText w:val="%3."/>
      <w:lvlJc w:val="right"/>
      <w:pPr>
        <w:tabs>
          <w:tab w:val="left" w:pos="1533"/>
        </w:tabs>
        <w:ind w:left="1533" w:hanging="420"/>
      </w:pPr>
    </w:lvl>
    <w:lvl w:ilvl="3" w:tentative="0">
      <w:start w:val="1"/>
      <w:numFmt w:val="decimal"/>
      <w:lvlText w:val="%4."/>
      <w:lvlJc w:val="left"/>
      <w:pPr>
        <w:tabs>
          <w:tab w:val="left" w:pos="1953"/>
        </w:tabs>
        <w:ind w:left="1953" w:hanging="420"/>
      </w:pPr>
    </w:lvl>
    <w:lvl w:ilvl="4" w:tentative="0">
      <w:start w:val="1"/>
      <w:numFmt w:val="lowerLetter"/>
      <w:lvlText w:val="%5)"/>
      <w:lvlJc w:val="left"/>
      <w:pPr>
        <w:tabs>
          <w:tab w:val="left" w:pos="2373"/>
        </w:tabs>
        <w:ind w:left="2373" w:hanging="420"/>
      </w:pPr>
    </w:lvl>
    <w:lvl w:ilvl="5" w:tentative="0">
      <w:start w:val="1"/>
      <w:numFmt w:val="lowerRoman"/>
      <w:lvlText w:val="%6."/>
      <w:lvlJc w:val="right"/>
      <w:pPr>
        <w:tabs>
          <w:tab w:val="left" w:pos="2793"/>
        </w:tabs>
        <w:ind w:left="2793" w:hanging="420"/>
      </w:pPr>
    </w:lvl>
    <w:lvl w:ilvl="6" w:tentative="0">
      <w:start w:val="1"/>
      <w:numFmt w:val="decimal"/>
      <w:lvlText w:val="%7."/>
      <w:lvlJc w:val="left"/>
      <w:pPr>
        <w:tabs>
          <w:tab w:val="left" w:pos="3213"/>
        </w:tabs>
        <w:ind w:left="3213" w:hanging="420"/>
      </w:pPr>
    </w:lvl>
    <w:lvl w:ilvl="7" w:tentative="0">
      <w:start w:val="1"/>
      <w:numFmt w:val="lowerLetter"/>
      <w:lvlText w:val="%8)"/>
      <w:lvlJc w:val="left"/>
      <w:pPr>
        <w:tabs>
          <w:tab w:val="left" w:pos="3633"/>
        </w:tabs>
        <w:ind w:left="3633" w:hanging="420"/>
      </w:pPr>
    </w:lvl>
    <w:lvl w:ilvl="8" w:tentative="0">
      <w:start w:val="1"/>
      <w:numFmt w:val="lowerRoman"/>
      <w:lvlText w:val="%9."/>
      <w:lvlJc w:val="right"/>
      <w:pPr>
        <w:tabs>
          <w:tab w:val="left" w:pos="4053"/>
        </w:tabs>
        <w:ind w:left="4053" w:hanging="420"/>
      </w:pPr>
    </w:lvl>
  </w:abstractNum>
  <w:abstractNum w:abstractNumId="23">
    <w:nsid w:val="6B5E4B43"/>
    <w:multiLevelType w:val="multilevel"/>
    <w:tmpl w:val="6B5E4B43"/>
    <w:lvl w:ilvl="0" w:tentative="0">
      <w:start w:val="1"/>
      <w:numFmt w:val="decimal"/>
      <w:lvlText w:val="%1、"/>
      <w:lvlJc w:val="left"/>
      <w:pPr>
        <w:tabs>
          <w:tab w:val="left" w:pos="360"/>
        </w:tabs>
        <w:ind w:left="0" w:firstLine="0"/>
      </w:pPr>
      <w:rPr>
        <w:rFonts w:hint="eastAsia"/>
      </w:rPr>
    </w:lvl>
    <w:lvl w:ilvl="1" w:tentative="0">
      <w:start w:val="1"/>
      <w:numFmt w:val="decimal"/>
      <w:pStyle w:val="30"/>
      <w:lvlText w:val="%1.%2"/>
      <w:lvlJc w:val="left"/>
      <w:pPr>
        <w:tabs>
          <w:tab w:val="left" w:pos="720"/>
        </w:tabs>
        <w:ind w:left="0" w:firstLine="0"/>
      </w:pPr>
      <w:rPr>
        <w:rFonts w:hint="default" w:ascii="Times New Roman" w:hAnsi="Times New Roman"/>
        <w:b/>
        <w:i w:val="0"/>
        <w:caps w:val="0"/>
        <w:color w:val="auto"/>
        <w:u w:val="none"/>
      </w:rPr>
    </w:lvl>
    <w:lvl w:ilvl="2" w:tentative="0">
      <w:start w:val="1"/>
      <w:numFmt w:val="lowerLetter"/>
      <w:pStyle w:val="31"/>
      <w:lvlText w:val="(%3)"/>
      <w:lvlJc w:val="left"/>
      <w:pPr>
        <w:tabs>
          <w:tab w:val="left" w:pos="720"/>
        </w:tabs>
        <w:ind w:left="720" w:hanging="720"/>
      </w:pPr>
      <w:rPr>
        <w:rFonts w:hint="eastAsia" w:ascii="Times New Roman" w:hAnsi="Times New Roman"/>
        <w:b w:val="0"/>
        <w:i w:val="0"/>
        <w:caps w:val="0"/>
        <w:color w:val="auto"/>
        <w:u w:val="none"/>
      </w:rPr>
    </w:lvl>
    <w:lvl w:ilvl="3" w:tentative="0">
      <w:start w:val="1"/>
      <w:numFmt w:val="lowerRoman"/>
      <w:pStyle w:val="32"/>
      <w:lvlText w:val="(%4)"/>
      <w:lvlJc w:val="left"/>
      <w:pPr>
        <w:tabs>
          <w:tab w:val="left" w:pos="1440"/>
        </w:tabs>
        <w:ind w:left="1440" w:hanging="216"/>
      </w:pPr>
      <w:rPr>
        <w:rFonts w:hint="eastAsia" w:ascii="Times New Roman" w:hAnsi="Times New Roman"/>
        <w:b w:val="0"/>
        <w:i w:val="0"/>
        <w:caps w:val="0"/>
        <w:color w:val="auto"/>
        <w:u w:val="none"/>
      </w:rPr>
    </w:lvl>
    <w:lvl w:ilvl="4" w:tentative="0">
      <w:start w:val="1"/>
      <w:numFmt w:val="upperLetter"/>
      <w:pStyle w:val="33"/>
      <w:lvlText w:val="(%5)"/>
      <w:lvlJc w:val="left"/>
      <w:pPr>
        <w:tabs>
          <w:tab w:val="left" w:pos="2160"/>
        </w:tabs>
        <w:ind w:left="2160" w:hanging="720"/>
      </w:pPr>
      <w:rPr>
        <w:rFonts w:hint="eastAsia" w:ascii="Times New Roman" w:hAnsi="Times New Roman"/>
        <w:b w:val="0"/>
        <w:i w:val="0"/>
        <w:caps w:val="0"/>
        <w:color w:val="auto"/>
        <w:u w:val="none"/>
      </w:rPr>
    </w:lvl>
    <w:lvl w:ilvl="5" w:tentative="0">
      <w:start w:val="1"/>
      <w:numFmt w:val="upperRoman"/>
      <w:pStyle w:val="34"/>
      <w:lvlText w:val="(%6)"/>
      <w:lvlJc w:val="right"/>
      <w:pPr>
        <w:tabs>
          <w:tab w:val="left" w:pos="2880"/>
        </w:tabs>
        <w:ind w:left="2880" w:hanging="216"/>
      </w:pPr>
      <w:rPr>
        <w:rFonts w:hint="eastAsia" w:ascii="Times New Roman" w:hAnsi="Times New Roman"/>
        <w:b w:val="0"/>
        <w:i w:val="0"/>
        <w:caps w:val="0"/>
        <w:color w:val="auto"/>
        <w:u w:val="none"/>
      </w:rPr>
    </w:lvl>
    <w:lvl w:ilvl="6" w:tentative="0">
      <w:start w:val="27"/>
      <w:numFmt w:val="lowerLetter"/>
      <w:pStyle w:val="35"/>
      <w:lvlText w:val="(%7)"/>
      <w:lvlJc w:val="left"/>
      <w:pPr>
        <w:tabs>
          <w:tab w:val="left" w:pos="3600"/>
        </w:tabs>
        <w:ind w:left="3600" w:hanging="720"/>
      </w:pPr>
      <w:rPr>
        <w:rFonts w:hint="eastAsia" w:ascii="Times New Roman" w:hAnsi="Times New Roman"/>
        <w:b w:val="0"/>
        <w:i w:val="0"/>
        <w:caps w:val="0"/>
        <w:color w:val="auto"/>
        <w:u w:val="none"/>
      </w:rPr>
    </w:lvl>
    <w:lvl w:ilvl="7" w:tentative="0">
      <w:start w:val="1"/>
      <w:numFmt w:val="decimal"/>
      <w:pStyle w:val="36"/>
      <w:lvlText w:val="(%8)"/>
      <w:lvlJc w:val="left"/>
      <w:pPr>
        <w:tabs>
          <w:tab w:val="left" w:pos="4320"/>
        </w:tabs>
        <w:ind w:left="4320" w:hanging="720"/>
      </w:pPr>
      <w:rPr>
        <w:rFonts w:hint="eastAsia" w:ascii="Times New Roman" w:hAnsi="Times New Roman"/>
        <w:b w:val="0"/>
        <w:i w:val="0"/>
        <w:caps w:val="0"/>
        <w:color w:val="auto"/>
        <w:u w:val="none"/>
      </w:rPr>
    </w:lvl>
    <w:lvl w:ilvl="8" w:tentative="0">
      <w:start w:val="1"/>
      <w:numFmt w:val="lowerRoman"/>
      <w:lvlText w:val="%9)"/>
      <w:lvlJc w:val="left"/>
      <w:pPr>
        <w:tabs>
          <w:tab w:val="left" w:pos="5760"/>
        </w:tabs>
        <w:ind w:left="5760" w:hanging="720"/>
      </w:pPr>
      <w:rPr>
        <w:rFonts w:hint="eastAsia" w:ascii="Times New Roman" w:hAnsi="Times New Roman"/>
        <w:b w:val="0"/>
        <w:i w:val="0"/>
        <w:caps w:val="0"/>
        <w:color w:val="auto"/>
        <w:u w:val="none"/>
      </w:rPr>
    </w:lvl>
  </w:abstractNum>
  <w:abstractNum w:abstractNumId="24">
    <w:nsid w:val="7836023D"/>
    <w:multiLevelType w:val="multilevel"/>
    <w:tmpl w:val="7836023D"/>
    <w:lvl w:ilvl="0" w:tentative="0">
      <w:start w:val="1"/>
      <w:numFmt w:val="lowerLetter"/>
      <w:lvlText w:val="(%1)"/>
      <w:lvlJc w:val="left"/>
      <w:pPr>
        <w:tabs>
          <w:tab w:val="left" w:pos="1215"/>
        </w:tabs>
        <w:ind w:left="1215" w:hanging="375"/>
      </w:pPr>
      <w:rPr>
        <w:rFonts w:hint="default" w:ascii="Times New Roman" w:hAnsi="Times New Roman" w:cs="Times New Roman"/>
        <w:b w:val="0"/>
        <w:color w:val="auto"/>
      </w:rPr>
    </w:lvl>
    <w:lvl w:ilvl="1" w:tentative="0">
      <w:start w:val="1"/>
      <w:numFmt w:val="lowerLetter"/>
      <w:lvlText w:val="%2)"/>
      <w:lvlJc w:val="left"/>
      <w:pPr>
        <w:tabs>
          <w:tab w:val="left" w:pos="1113"/>
        </w:tabs>
        <w:ind w:left="1113" w:hanging="420"/>
      </w:pPr>
    </w:lvl>
    <w:lvl w:ilvl="2" w:tentative="0">
      <w:start w:val="1"/>
      <w:numFmt w:val="lowerRoman"/>
      <w:lvlText w:val="%3."/>
      <w:lvlJc w:val="right"/>
      <w:pPr>
        <w:tabs>
          <w:tab w:val="left" w:pos="1533"/>
        </w:tabs>
        <w:ind w:left="1533" w:hanging="420"/>
      </w:pPr>
    </w:lvl>
    <w:lvl w:ilvl="3" w:tentative="0">
      <w:start w:val="1"/>
      <w:numFmt w:val="decimal"/>
      <w:lvlText w:val="%4."/>
      <w:lvlJc w:val="left"/>
      <w:pPr>
        <w:tabs>
          <w:tab w:val="left" w:pos="1953"/>
        </w:tabs>
        <w:ind w:left="1953" w:hanging="420"/>
      </w:pPr>
    </w:lvl>
    <w:lvl w:ilvl="4" w:tentative="0">
      <w:start w:val="1"/>
      <w:numFmt w:val="lowerLetter"/>
      <w:lvlText w:val="%5)"/>
      <w:lvlJc w:val="left"/>
      <w:pPr>
        <w:tabs>
          <w:tab w:val="left" w:pos="2373"/>
        </w:tabs>
        <w:ind w:left="2373" w:hanging="420"/>
      </w:pPr>
    </w:lvl>
    <w:lvl w:ilvl="5" w:tentative="0">
      <w:start w:val="1"/>
      <w:numFmt w:val="lowerRoman"/>
      <w:lvlText w:val="%6."/>
      <w:lvlJc w:val="right"/>
      <w:pPr>
        <w:tabs>
          <w:tab w:val="left" w:pos="2793"/>
        </w:tabs>
        <w:ind w:left="2793" w:hanging="420"/>
      </w:pPr>
    </w:lvl>
    <w:lvl w:ilvl="6" w:tentative="0">
      <w:start w:val="1"/>
      <w:numFmt w:val="decimal"/>
      <w:lvlText w:val="%7."/>
      <w:lvlJc w:val="left"/>
      <w:pPr>
        <w:tabs>
          <w:tab w:val="left" w:pos="3213"/>
        </w:tabs>
        <w:ind w:left="3213" w:hanging="420"/>
      </w:pPr>
    </w:lvl>
    <w:lvl w:ilvl="7" w:tentative="0">
      <w:start w:val="1"/>
      <w:numFmt w:val="lowerLetter"/>
      <w:lvlText w:val="%8)"/>
      <w:lvlJc w:val="left"/>
      <w:pPr>
        <w:tabs>
          <w:tab w:val="left" w:pos="3633"/>
        </w:tabs>
        <w:ind w:left="3633" w:hanging="420"/>
      </w:pPr>
    </w:lvl>
    <w:lvl w:ilvl="8" w:tentative="0">
      <w:start w:val="1"/>
      <w:numFmt w:val="lowerRoman"/>
      <w:lvlText w:val="%9."/>
      <w:lvlJc w:val="right"/>
      <w:pPr>
        <w:tabs>
          <w:tab w:val="left" w:pos="4053"/>
        </w:tabs>
        <w:ind w:left="4053" w:hanging="420"/>
      </w:pPr>
    </w:lvl>
  </w:abstractNum>
  <w:num w:numId="1">
    <w:abstractNumId w:val="23"/>
  </w:num>
  <w:num w:numId="2">
    <w:abstractNumId w:val="5"/>
  </w:num>
  <w:num w:numId="3">
    <w:abstractNumId w:val="15"/>
  </w:num>
  <w:num w:numId="4">
    <w:abstractNumId w:val="4"/>
  </w:num>
  <w:num w:numId="5">
    <w:abstractNumId w:val="10"/>
  </w:num>
  <w:num w:numId="6">
    <w:abstractNumId w:val="6"/>
  </w:num>
  <w:num w:numId="7">
    <w:abstractNumId w:val="8"/>
  </w:num>
  <w:num w:numId="8">
    <w:abstractNumId w:val="7"/>
  </w:num>
  <w:num w:numId="9">
    <w:abstractNumId w:val="0"/>
  </w:num>
  <w:num w:numId="10">
    <w:abstractNumId w:val="21"/>
  </w:num>
  <w:num w:numId="11">
    <w:abstractNumId w:val="17"/>
  </w:num>
  <w:num w:numId="12">
    <w:abstractNumId w:val="16"/>
  </w:num>
  <w:num w:numId="13">
    <w:abstractNumId w:val="1"/>
  </w:num>
  <w:num w:numId="14">
    <w:abstractNumId w:val="22"/>
  </w:num>
  <w:num w:numId="15">
    <w:abstractNumId w:val="3"/>
  </w:num>
  <w:num w:numId="16">
    <w:abstractNumId w:val="14"/>
  </w:num>
  <w:num w:numId="17">
    <w:abstractNumId w:val="12"/>
  </w:num>
  <w:num w:numId="18">
    <w:abstractNumId w:val="2"/>
  </w:num>
  <w:num w:numId="19">
    <w:abstractNumId w:val="19"/>
  </w:num>
  <w:num w:numId="20">
    <w:abstractNumId w:val="20"/>
  </w:num>
  <w:num w:numId="21">
    <w:abstractNumId w:val="18"/>
  </w:num>
  <w:num w:numId="22">
    <w:abstractNumId w:val="24"/>
  </w:num>
  <w:num w:numId="23">
    <w:abstractNumId w:val="13"/>
  </w:num>
  <w:num w:numId="24">
    <w:abstractNumId w:val="11"/>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481"/>
    <w:rsid w:val="0000033B"/>
    <w:rsid w:val="000003C3"/>
    <w:rsid w:val="00000F54"/>
    <w:rsid w:val="000015C2"/>
    <w:rsid w:val="000021DB"/>
    <w:rsid w:val="000028F5"/>
    <w:rsid w:val="00002EC3"/>
    <w:rsid w:val="00002FC0"/>
    <w:rsid w:val="000035B7"/>
    <w:rsid w:val="00003AEE"/>
    <w:rsid w:val="00003EB4"/>
    <w:rsid w:val="00004852"/>
    <w:rsid w:val="00004A7B"/>
    <w:rsid w:val="00004AFE"/>
    <w:rsid w:val="00004D87"/>
    <w:rsid w:val="00004F64"/>
    <w:rsid w:val="000052F4"/>
    <w:rsid w:val="0000598A"/>
    <w:rsid w:val="00005D87"/>
    <w:rsid w:val="00006092"/>
    <w:rsid w:val="00006687"/>
    <w:rsid w:val="00006778"/>
    <w:rsid w:val="000069D9"/>
    <w:rsid w:val="00006A7C"/>
    <w:rsid w:val="00006D2D"/>
    <w:rsid w:val="000105FF"/>
    <w:rsid w:val="00010ECB"/>
    <w:rsid w:val="00011027"/>
    <w:rsid w:val="000118C0"/>
    <w:rsid w:val="00011AB5"/>
    <w:rsid w:val="00012784"/>
    <w:rsid w:val="00012839"/>
    <w:rsid w:val="00012D9C"/>
    <w:rsid w:val="0001386A"/>
    <w:rsid w:val="00013AEF"/>
    <w:rsid w:val="00013FD5"/>
    <w:rsid w:val="00014059"/>
    <w:rsid w:val="000144BD"/>
    <w:rsid w:val="000147A7"/>
    <w:rsid w:val="00014C42"/>
    <w:rsid w:val="000152A0"/>
    <w:rsid w:val="00015A7F"/>
    <w:rsid w:val="00015F49"/>
    <w:rsid w:val="00016484"/>
    <w:rsid w:val="000166B0"/>
    <w:rsid w:val="00016BA6"/>
    <w:rsid w:val="00016C5A"/>
    <w:rsid w:val="000171CD"/>
    <w:rsid w:val="00017DBE"/>
    <w:rsid w:val="000206A4"/>
    <w:rsid w:val="00020C1C"/>
    <w:rsid w:val="0002139F"/>
    <w:rsid w:val="0002225D"/>
    <w:rsid w:val="0002263D"/>
    <w:rsid w:val="00022B85"/>
    <w:rsid w:val="00023C2B"/>
    <w:rsid w:val="00023C6B"/>
    <w:rsid w:val="00023D00"/>
    <w:rsid w:val="00024518"/>
    <w:rsid w:val="00024548"/>
    <w:rsid w:val="0002487E"/>
    <w:rsid w:val="00024996"/>
    <w:rsid w:val="00024E00"/>
    <w:rsid w:val="00024F1A"/>
    <w:rsid w:val="00024F5E"/>
    <w:rsid w:val="00025081"/>
    <w:rsid w:val="00025253"/>
    <w:rsid w:val="000252AA"/>
    <w:rsid w:val="00025715"/>
    <w:rsid w:val="00026208"/>
    <w:rsid w:val="00026462"/>
    <w:rsid w:val="000273A6"/>
    <w:rsid w:val="00027495"/>
    <w:rsid w:val="00027522"/>
    <w:rsid w:val="000275CA"/>
    <w:rsid w:val="000278A7"/>
    <w:rsid w:val="00027E15"/>
    <w:rsid w:val="000300BE"/>
    <w:rsid w:val="00030D25"/>
    <w:rsid w:val="00030FB1"/>
    <w:rsid w:val="000310BD"/>
    <w:rsid w:val="00031117"/>
    <w:rsid w:val="00031160"/>
    <w:rsid w:val="00031286"/>
    <w:rsid w:val="00031548"/>
    <w:rsid w:val="0003158C"/>
    <w:rsid w:val="000316FB"/>
    <w:rsid w:val="0003172C"/>
    <w:rsid w:val="00031E2C"/>
    <w:rsid w:val="00031F2D"/>
    <w:rsid w:val="00031F54"/>
    <w:rsid w:val="000323A6"/>
    <w:rsid w:val="00033033"/>
    <w:rsid w:val="000335D3"/>
    <w:rsid w:val="0003394D"/>
    <w:rsid w:val="00033CDC"/>
    <w:rsid w:val="00033EEC"/>
    <w:rsid w:val="00033F42"/>
    <w:rsid w:val="00034083"/>
    <w:rsid w:val="000343CF"/>
    <w:rsid w:val="00034692"/>
    <w:rsid w:val="0003475C"/>
    <w:rsid w:val="0003494F"/>
    <w:rsid w:val="00034A53"/>
    <w:rsid w:val="00034BD5"/>
    <w:rsid w:val="00034BFA"/>
    <w:rsid w:val="00035057"/>
    <w:rsid w:val="00035644"/>
    <w:rsid w:val="0003586E"/>
    <w:rsid w:val="00035B4A"/>
    <w:rsid w:val="00035BF3"/>
    <w:rsid w:val="00035CF8"/>
    <w:rsid w:val="00036009"/>
    <w:rsid w:val="00036CE8"/>
    <w:rsid w:val="00036DAD"/>
    <w:rsid w:val="0003747E"/>
    <w:rsid w:val="00037EB9"/>
    <w:rsid w:val="00040D2D"/>
    <w:rsid w:val="00040F41"/>
    <w:rsid w:val="000411BB"/>
    <w:rsid w:val="00041BA6"/>
    <w:rsid w:val="00041EA1"/>
    <w:rsid w:val="000428EF"/>
    <w:rsid w:val="00042AD9"/>
    <w:rsid w:val="00042D74"/>
    <w:rsid w:val="0004321D"/>
    <w:rsid w:val="0004364C"/>
    <w:rsid w:val="0004381D"/>
    <w:rsid w:val="00043EA9"/>
    <w:rsid w:val="00043F86"/>
    <w:rsid w:val="000440BF"/>
    <w:rsid w:val="00044B44"/>
    <w:rsid w:val="00045019"/>
    <w:rsid w:val="00045C59"/>
    <w:rsid w:val="00045C8D"/>
    <w:rsid w:val="00046012"/>
    <w:rsid w:val="000466A0"/>
    <w:rsid w:val="00047AAE"/>
    <w:rsid w:val="0005001A"/>
    <w:rsid w:val="000509A5"/>
    <w:rsid w:val="000509B1"/>
    <w:rsid w:val="00050B7F"/>
    <w:rsid w:val="00050C6A"/>
    <w:rsid w:val="000511C2"/>
    <w:rsid w:val="00051935"/>
    <w:rsid w:val="00051E6B"/>
    <w:rsid w:val="00052B1B"/>
    <w:rsid w:val="0005381B"/>
    <w:rsid w:val="00053F5D"/>
    <w:rsid w:val="000543D2"/>
    <w:rsid w:val="000548A7"/>
    <w:rsid w:val="00054A90"/>
    <w:rsid w:val="00054F62"/>
    <w:rsid w:val="000551E2"/>
    <w:rsid w:val="000551F8"/>
    <w:rsid w:val="000553D2"/>
    <w:rsid w:val="00055895"/>
    <w:rsid w:val="000559A9"/>
    <w:rsid w:val="00055B98"/>
    <w:rsid w:val="00055C45"/>
    <w:rsid w:val="00055C76"/>
    <w:rsid w:val="00055D91"/>
    <w:rsid w:val="00055FE0"/>
    <w:rsid w:val="0005626E"/>
    <w:rsid w:val="0005652A"/>
    <w:rsid w:val="00056FBF"/>
    <w:rsid w:val="00057D2A"/>
    <w:rsid w:val="00057E7B"/>
    <w:rsid w:val="00060437"/>
    <w:rsid w:val="00060537"/>
    <w:rsid w:val="00060E0C"/>
    <w:rsid w:val="000610E7"/>
    <w:rsid w:val="00061EC4"/>
    <w:rsid w:val="000623A4"/>
    <w:rsid w:val="0006241F"/>
    <w:rsid w:val="00062C62"/>
    <w:rsid w:val="0006386A"/>
    <w:rsid w:val="00063E18"/>
    <w:rsid w:val="00063E52"/>
    <w:rsid w:val="00064AF6"/>
    <w:rsid w:val="000655D7"/>
    <w:rsid w:val="00065745"/>
    <w:rsid w:val="00065BD8"/>
    <w:rsid w:val="00065FC9"/>
    <w:rsid w:val="0006610B"/>
    <w:rsid w:val="000665C1"/>
    <w:rsid w:val="00066673"/>
    <w:rsid w:val="00066DCD"/>
    <w:rsid w:val="00067405"/>
    <w:rsid w:val="00070058"/>
    <w:rsid w:val="000707E1"/>
    <w:rsid w:val="00070852"/>
    <w:rsid w:val="00070C50"/>
    <w:rsid w:val="000714C2"/>
    <w:rsid w:val="000715C1"/>
    <w:rsid w:val="00071614"/>
    <w:rsid w:val="00071B96"/>
    <w:rsid w:val="00072800"/>
    <w:rsid w:val="0007283C"/>
    <w:rsid w:val="00072A69"/>
    <w:rsid w:val="000732C5"/>
    <w:rsid w:val="000733B6"/>
    <w:rsid w:val="00073775"/>
    <w:rsid w:val="000737C6"/>
    <w:rsid w:val="0007406C"/>
    <w:rsid w:val="0007448E"/>
    <w:rsid w:val="00074B4A"/>
    <w:rsid w:val="00074D84"/>
    <w:rsid w:val="0007539E"/>
    <w:rsid w:val="00075F3B"/>
    <w:rsid w:val="00076726"/>
    <w:rsid w:val="00077DC9"/>
    <w:rsid w:val="00077FF4"/>
    <w:rsid w:val="000801C6"/>
    <w:rsid w:val="0008073D"/>
    <w:rsid w:val="00080D21"/>
    <w:rsid w:val="00081A06"/>
    <w:rsid w:val="00081B99"/>
    <w:rsid w:val="00082818"/>
    <w:rsid w:val="00082AE4"/>
    <w:rsid w:val="00082B6D"/>
    <w:rsid w:val="00082F62"/>
    <w:rsid w:val="00083030"/>
    <w:rsid w:val="0008333E"/>
    <w:rsid w:val="0008346D"/>
    <w:rsid w:val="00083B0C"/>
    <w:rsid w:val="00083C95"/>
    <w:rsid w:val="0008427A"/>
    <w:rsid w:val="00084830"/>
    <w:rsid w:val="00084CA3"/>
    <w:rsid w:val="0008540B"/>
    <w:rsid w:val="00085856"/>
    <w:rsid w:val="00085DC8"/>
    <w:rsid w:val="00085F91"/>
    <w:rsid w:val="00086096"/>
    <w:rsid w:val="0009009F"/>
    <w:rsid w:val="00090216"/>
    <w:rsid w:val="000908FD"/>
    <w:rsid w:val="0009099D"/>
    <w:rsid w:val="00090B3E"/>
    <w:rsid w:val="00090C55"/>
    <w:rsid w:val="00090CA2"/>
    <w:rsid w:val="00091203"/>
    <w:rsid w:val="00091B7B"/>
    <w:rsid w:val="00091E91"/>
    <w:rsid w:val="0009214E"/>
    <w:rsid w:val="00092534"/>
    <w:rsid w:val="00092538"/>
    <w:rsid w:val="00092A97"/>
    <w:rsid w:val="000933AA"/>
    <w:rsid w:val="00094202"/>
    <w:rsid w:val="00094D35"/>
    <w:rsid w:val="00094F8B"/>
    <w:rsid w:val="000954F7"/>
    <w:rsid w:val="00095A70"/>
    <w:rsid w:val="00095DAD"/>
    <w:rsid w:val="00095FB0"/>
    <w:rsid w:val="00096C11"/>
    <w:rsid w:val="000970F6"/>
    <w:rsid w:val="00097928"/>
    <w:rsid w:val="00097B4C"/>
    <w:rsid w:val="000A03C6"/>
    <w:rsid w:val="000A05CD"/>
    <w:rsid w:val="000A0858"/>
    <w:rsid w:val="000A0920"/>
    <w:rsid w:val="000A0C28"/>
    <w:rsid w:val="000A14F0"/>
    <w:rsid w:val="000A176A"/>
    <w:rsid w:val="000A1898"/>
    <w:rsid w:val="000A1A2D"/>
    <w:rsid w:val="000A21C4"/>
    <w:rsid w:val="000A2860"/>
    <w:rsid w:val="000A29FB"/>
    <w:rsid w:val="000A33D0"/>
    <w:rsid w:val="000A3409"/>
    <w:rsid w:val="000A3606"/>
    <w:rsid w:val="000A3804"/>
    <w:rsid w:val="000A45C5"/>
    <w:rsid w:val="000A45F1"/>
    <w:rsid w:val="000A5119"/>
    <w:rsid w:val="000A5826"/>
    <w:rsid w:val="000A61F8"/>
    <w:rsid w:val="000A64C2"/>
    <w:rsid w:val="000A64DF"/>
    <w:rsid w:val="000A66B3"/>
    <w:rsid w:val="000A6A43"/>
    <w:rsid w:val="000A6B42"/>
    <w:rsid w:val="000A72BF"/>
    <w:rsid w:val="000A731C"/>
    <w:rsid w:val="000A7354"/>
    <w:rsid w:val="000A7BA5"/>
    <w:rsid w:val="000B07BF"/>
    <w:rsid w:val="000B12F8"/>
    <w:rsid w:val="000B1524"/>
    <w:rsid w:val="000B2293"/>
    <w:rsid w:val="000B237F"/>
    <w:rsid w:val="000B2919"/>
    <w:rsid w:val="000B2F83"/>
    <w:rsid w:val="000B36C6"/>
    <w:rsid w:val="000B3A78"/>
    <w:rsid w:val="000B4651"/>
    <w:rsid w:val="000B4746"/>
    <w:rsid w:val="000B4FAA"/>
    <w:rsid w:val="000B5519"/>
    <w:rsid w:val="000B5712"/>
    <w:rsid w:val="000B64A5"/>
    <w:rsid w:val="000B6A07"/>
    <w:rsid w:val="000B6F59"/>
    <w:rsid w:val="000B7092"/>
    <w:rsid w:val="000B70B1"/>
    <w:rsid w:val="000B711B"/>
    <w:rsid w:val="000B7243"/>
    <w:rsid w:val="000B7996"/>
    <w:rsid w:val="000B7E76"/>
    <w:rsid w:val="000B7EA1"/>
    <w:rsid w:val="000C0182"/>
    <w:rsid w:val="000C0334"/>
    <w:rsid w:val="000C0562"/>
    <w:rsid w:val="000C0B12"/>
    <w:rsid w:val="000C176A"/>
    <w:rsid w:val="000C192C"/>
    <w:rsid w:val="000C20FE"/>
    <w:rsid w:val="000C242E"/>
    <w:rsid w:val="000C294A"/>
    <w:rsid w:val="000C29D9"/>
    <w:rsid w:val="000C2BEF"/>
    <w:rsid w:val="000C3117"/>
    <w:rsid w:val="000C3120"/>
    <w:rsid w:val="000C3B2C"/>
    <w:rsid w:val="000C4396"/>
    <w:rsid w:val="000C461C"/>
    <w:rsid w:val="000C4CD3"/>
    <w:rsid w:val="000C53CE"/>
    <w:rsid w:val="000C55E3"/>
    <w:rsid w:val="000C5887"/>
    <w:rsid w:val="000C5ECF"/>
    <w:rsid w:val="000C5F05"/>
    <w:rsid w:val="000C6253"/>
    <w:rsid w:val="000C63E3"/>
    <w:rsid w:val="000C6828"/>
    <w:rsid w:val="000C6A85"/>
    <w:rsid w:val="000C6B6F"/>
    <w:rsid w:val="000C6BEA"/>
    <w:rsid w:val="000C7E49"/>
    <w:rsid w:val="000D00FC"/>
    <w:rsid w:val="000D0505"/>
    <w:rsid w:val="000D076B"/>
    <w:rsid w:val="000D0849"/>
    <w:rsid w:val="000D0A4D"/>
    <w:rsid w:val="000D173E"/>
    <w:rsid w:val="000D1C3A"/>
    <w:rsid w:val="000D1C8F"/>
    <w:rsid w:val="000D2108"/>
    <w:rsid w:val="000D3037"/>
    <w:rsid w:val="000D370C"/>
    <w:rsid w:val="000D3A55"/>
    <w:rsid w:val="000D3C2A"/>
    <w:rsid w:val="000D3CDE"/>
    <w:rsid w:val="000D3E89"/>
    <w:rsid w:val="000D404E"/>
    <w:rsid w:val="000D423D"/>
    <w:rsid w:val="000D4C04"/>
    <w:rsid w:val="000D4CA5"/>
    <w:rsid w:val="000D5072"/>
    <w:rsid w:val="000D50A4"/>
    <w:rsid w:val="000D513E"/>
    <w:rsid w:val="000D5254"/>
    <w:rsid w:val="000D5287"/>
    <w:rsid w:val="000D5662"/>
    <w:rsid w:val="000D60A4"/>
    <w:rsid w:val="000D63BB"/>
    <w:rsid w:val="000D698A"/>
    <w:rsid w:val="000D6EED"/>
    <w:rsid w:val="000D7727"/>
    <w:rsid w:val="000D7A2C"/>
    <w:rsid w:val="000D7EED"/>
    <w:rsid w:val="000D7FC9"/>
    <w:rsid w:val="000E100C"/>
    <w:rsid w:val="000E14F8"/>
    <w:rsid w:val="000E2450"/>
    <w:rsid w:val="000E2A41"/>
    <w:rsid w:val="000E2B08"/>
    <w:rsid w:val="000E2FD3"/>
    <w:rsid w:val="000E38BD"/>
    <w:rsid w:val="000E3A5A"/>
    <w:rsid w:val="000E420D"/>
    <w:rsid w:val="000E4AC9"/>
    <w:rsid w:val="000E504C"/>
    <w:rsid w:val="000E5361"/>
    <w:rsid w:val="000E539F"/>
    <w:rsid w:val="000E6D08"/>
    <w:rsid w:val="000E6F2A"/>
    <w:rsid w:val="000F0274"/>
    <w:rsid w:val="000F0388"/>
    <w:rsid w:val="000F07D0"/>
    <w:rsid w:val="000F0E8B"/>
    <w:rsid w:val="000F0EDE"/>
    <w:rsid w:val="000F10B5"/>
    <w:rsid w:val="000F123D"/>
    <w:rsid w:val="000F1597"/>
    <w:rsid w:val="000F1BFF"/>
    <w:rsid w:val="000F1DA3"/>
    <w:rsid w:val="000F24BA"/>
    <w:rsid w:val="000F27CC"/>
    <w:rsid w:val="000F2DC6"/>
    <w:rsid w:val="000F301F"/>
    <w:rsid w:val="000F34B2"/>
    <w:rsid w:val="000F383C"/>
    <w:rsid w:val="000F3D73"/>
    <w:rsid w:val="000F4368"/>
    <w:rsid w:val="000F43CD"/>
    <w:rsid w:val="000F495A"/>
    <w:rsid w:val="000F4B86"/>
    <w:rsid w:val="000F4C6A"/>
    <w:rsid w:val="000F4E90"/>
    <w:rsid w:val="000F5769"/>
    <w:rsid w:val="000F594D"/>
    <w:rsid w:val="000F5D47"/>
    <w:rsid w:val="000F60E1"/>
    <w:rsid w:val="000F667B"/>
    <w:rsid w:val="000F6B4B"/>
    <w:rsid w:val="000F6DBE"/>
    <w:rsid w:val="000F7687"/>
    <w:rsid w:val="000F7781"/>
    <w:rsid w:val="000F7A35"/>
    <w:rsid w:val="000F7CC0"/>
    <w:rsid w:val="001007EF"/>
    <w:rsid w:val="001008D8"/>
    <w:rsid w:val="00100CCE"/>
    <w:rsid w:val="001018A1"/>
    <w:rsid w:val="00101954"/>
    <w:rsid w:val="00101C02"/>
    <w:rsid w:val="00101DF2"/>
    <w:rsid w:val="001023B1"/>
    <w:rsid w:val="001026FD"/>
    <w:rsid w:val="00102897"/>
    <w:rsid w:val="0010326C"/>
    <w:rsid w:val="0010361C"/>
    <w:rsid w:val="00103B9A"/>
    <w:rsid w:val="00103D92"/>
    <w:rsid w:val="00103EEA"/>
    <w:rsid w:val="001044A6"/>
    <w:rsid w:val="001051DE"/>
    <w:rsid w:val="001052B9"/>
    <w:rsid w:val="00105F2C"/>
    <w:rsid w:val="00105FE1"/>
    <w:rsid w:val="00106646"/>
    <w:rsid w:val="00106E5D"/>
    <w:rsid w:val="00106E81"/>
    <w:rsid w:val="00107345"/>
    <w:rsid w:val="001073D4"/>
    <w:rsid w:val="00107637"/>
    <w:rsid w:val="00107755"/>
    <w:rsid w:val="00107F69"/>
    <w:rsid w:val="001104EB"/>
    <w:rsid w:val="00110DC3"/>
    <w:rsid w:val="00111206"/>
    <w:rsid w:val="0011146F"/>
    <w:rsid w:val="001115D7"/>
    <w:rsid w:val="001118C1"/>
    <w:rsid w:val="00111F9E"/>
    <w:rsid w:val="0011256E"/>
    <w:rsid w:val="00112AA5"/>
    <w:rsid w:val="00112F7C"/>
    <w:rsid w:val="0011493E"/>
    <w:rsid w:val="0011528F"/>
    <w:rsid w:val="00115321"/>
    <w:rsid w:val="001153D3"/>
    <w:rsid w:val="0011563D"/>
    <w:rsid w:val="001158F3"/>
    <w:rsid w:val="0011645E"/>
    <w:rsid w:val="001168B0"/>
    <w:rsid w:val="001177D9"/>
    <w:rsid w:val="00117A55"/>
    <w:rsid w:val="00117AD7"/>
    <w:rsid w:val="00117FEE"/>
    <w:rsid w:val="00120204"/>
    <w:rsid w:val="00120698"/>
    <w:rsid w:val="00120B79"/>
    <w:rsid w:val="00121810"/>
    <w:rsid w:val="00121A17"/>
    <w:rsid w:val="00121FDC"/>
    <w:rsid w:val="0012207B"/>
    <w:rsid w:val="001220B1"/>
    <w:rsid w:val="00122DC7"/>
    <w:rsid w:val="00123E86"/>
    <w:rsid w:val="001243A0"/>
    <w:rsid w:val="00124A95"/>
    <w:rsid w:val="00124BAF"/>
    <w:rsid w:val="0012556F"/>
    <w:rsid w:val="00125C7B"/>
    <w:rsid w:val="001266E5"/>
    <w:rsid w:val="00127533"/>
    <w:rsid w:val="00127851"/>
    <w:rsid w:val="00127B93"/>
    <w:rsid w:val="00130055"/>
    <w:rsid w:val="001306F6"/>
    <w:rsid w:val="00130752"/>
    <w:rsid w:val="00130B48"/>
    <w:rsid w:val="00130C06"/>
    <w:rsid w:val="00130EF6"/>
    <w:rsid w:val="00130F7A"/>
    <w:rsid w:val="0013101F"/>
    <w:rsid w:val="0013117B"/>
    <w:rsid w:val="00131AD3"/>
    <w:rsid w:val="00131C3B"/>
    <w:rsid w:val="00131CE7"/>
    <w:rsid w:val="00131EEB"/>
    <w:rsid w:val="00132E14"/>
    <w:rsid w:val="001339EF"/>
    <w:rsid w:val="00133D67"/>
    <w:rsid w:val="00133E8F"/>
    <w:rsid w:val="00133ECE"/>
    <w:rsid w:val="0013423A"/>
    <w:rsid w:val="0013445C"/>
    <w:rsid w:val="00134D5A"/>
    <w:rsid w:val="0013578C"/>
    <w:rsid w:val="00135AA3"/>
    <w:rsid w:val="00136317"/>
    <w:rsid w:val="0013687A"/>
    <w:rsid w:val="00136B34"/>
    <w:rsid w:val="00136B50"/>
    <w:rsid w:val="00136D9A"/>
    <w:rsid w:val="001372F9"/>
    <w:rsid w:val="00137345"/>
    <w:rsid w:val="00137A55"/>
    <w:rsid w:val="00137B6E"/>
    <w:rsid w:val="00137BC5"/>
    <w:rsid w:val="00137F73"/>
    <w:rsid w:val="00140CB9"/>
    <w:rsid w:val="00141520"/>
    <w:rsid w:val="00141B4F"/>
    <w:rsid w:val="00142068"/>
    <w:rsid w:val="0014274E"/>
    <w:rsid w:val="00142BA2"/>
    <w:rsid w:val="00142FD4"/>
    <w:rsid w:val="00143137"/>
    <w:rsid w:val="00143B2B"/>
    <w:rsid w:val="00143CB2"/>
    <w:rsid w:val="00143FD0"/>
    <w:rsid w:val="0014414B"/>
    <w:rsid w:val="0014453F"/>
    <w:rsid w:val="00144F88"/>
    <w:rsid w:val="0014526D"/>
    <w:rsid w:val="00145516"/>
    <w:rsid w:val="001457CA"/>
    <w:rsid w:val="00146115"/>
    <w:rsid w:val="0014628E"/>
    <w:rsid w:val="00146969"/>
    <w:rsid w:val="00146EC3"/>
    <w:rsid w:val="0014741F"/>
    <w:rsid w:val="00147FEF"/>
    <w:rsid w:val="001502AC"/>
    <w:rsid w:val="00150314"/>
    <w:rsid w:val="0015060D"/>
    <w:rsid w:val="00150B30"/>
    <w:rsid w:val="0015114E"/>
    <w:rsid w:val="0015151E"/>
    <w:rsid w:val="00151E1E"/>
    <w:rsid w:val="00152AB7"/>
    <w:rsid w:val="00152B0C"/>
    <w:rsid w:val="00152C58"/>
    <w:rsid w:val="001532F1"/>
    <w:rsid w:val="00154010"/>
    <w:rsid w:val="001548BD"/>
    <w:rsid w:val="00155251"/>
    <w:rsid w:val="001552EE"/>
    <w:rsid w:val="0015540E"/>
    <w:rsid w:val="00155783"/>
    <w:rsid w:val="0015586A"/>
    <w:rsid w:val="001563D9"/>
    <w:rsid w:val="001568A1"/>
    <w:rsid w:val="0015716D"/>
    <w:rsid w:val="0015758F"/>
    <w:rsid w:val="001576C2"/>
    <w:rsid w:val="00157885"/>
    <w:rsid w:val="00157E18"/>
    <w:rsid w:val="00157E5E"/>
    <w:rsid w:val="00160BB2"/>
    <w:rsid w:val="0016126C"/>
    <w:rsid w:val="001621DE"/>
    <w:rsid w:val="0016240A"/>
    <w:rsid w:val="001628FF"/>
    <w:rsid w:val="001634FB"/>
    <w:rsid w:val="00163711"/>
    <w:rsid w:val="001639A2"/>
    <w:rsid w:val="00163C7C"/>
    <w:rsid w:val="00164474"/>
    <w:rsid w:val="00164994"/>
    <w:rsid w:val="00165067"/>
    <w:rsid w:val="001651A0"/>
    <w:rsid w:val="001652A0"/>
    <w:rsid w:val="0016537B"/>
    <w:rsid w:val="00165B6C"/>
    <w:rsid w:val="00165BBA"/>
    <w:rsid w:val="001661B6"/>
    <w:rsid w:val="0016626C"/>
    <w:rsid w:val="00166372"/>
    <w:rsid w:val="001664FD"/>
    <w:rsid w:val="00166AF0"/>
    <w:rsid w:val="001670D3"/>
    <w:rsid w:val="00167114"/>
    <w:rsid w:val="0016718F"/>
    <w:rsid w:val="00167F98"/>
    <w:rsid w:val="001707CC"/>
    <w:rsid w:val="00170BA9"/>
    <w:rsid w:val="00170D08"/>
    <w:rsid w:val="00171B96"/>
    <w:rsid w:val="00171C39"/>
    <w:rsid w:val="001726B9"/>
    <w:rsid w:val="0017292C"/>
    <w:rsid w:val="00172C25"/>
    <w:rsid w:val="00173D62"/>
    <w:rsid w:val="00174275"/>
    <w:rsid w:val="00174CF9"/>
    <w:rsid w:val="00174FB6"/>
    <w:rsid w:val="00175107"/>
    <w:rsid w:val="00175641"/>
    <w:rsid w:val="00175A50"/>
    <w:rsid w:val="00175D3A"/>
    <w:rsid w:val="00176097"/>
    <w:rsid w:val="001762E6"/>
    <w:rsid w:val="001762F1"/>
    <w:rsid w:val="0017677D"/>
    <w:rsid w:val="00176A00"/>
    <w:rsid w:val="00176A8E"/>
    <w:rsid w:val="001771AF"/>
    <w:rsid w:val="00177ADF"/>
    <w:rsid w:val="00177EA2"/>
    <w:rsid w:val="00180492"/>
    <w:rsid w:val="0018055C"/>
    <w:rsid w:val="00180BEE"/>
    <w:rsid w:val="00180F77"/>
    <w:rsid w:val="001812A5"/>
    <w:rsid w:val="001812FD"/>
    <w:rsid w:val="001813E6"/>
    <w:rsid w:val="00181495"/>
    <w:rsid w:val="00181576"/>
    <w:rsid w:val="001817A7"/>
    <w:rsid w:val="001817B5"/>
    <w:rsid w:val="00182079"/>
    <w:rsid w:val="0018271C"/>
    <w:rsid w:val="00182A8C"/>
    <w:rsid w:val="00182D10"/>
    <w:rsid w:val="00182F22"/>
    <w:rsid w:val="0018368F"/>
    <w:rsid w:val="00183739"/>
    <w:rsid w:val="00183A74"/>
    <w:rsid w:val="00183E8A"/>
    <w:rsid w:val="00183F4E"/>
    <w:rsid w:val="00184426"/>
    <w:rsid w:val="00184B51"/>
    <w:rsid w:val="001854B7"/>
    <w:rsid w:val="00185638"/>
    <w:rsid w:val="00185A3D"/>
    <w:rsid w:val="00185F8C"/>
    <w:rsid w:val="00186CC6"/>
    <w:rsid w:val="00186F82"/>
    <w:rsid w:val="00187A27"/>
    <w:rsid w:val="00187AE9"/>
    <w:rsid w:val="00187AEB"/>
    <w:rsid w:val="00190093"/>
    <w:rsid w:val="001902F8"/>
    <w:rsid w:val="00190378"/>
    <w:rsid w:val="001907B0"/>
    <w:rsid w:val="001908C7"/>
    <w:rsid w:val="001910F0"/>
    <w:rsid w:val="0019115C"/>
    <w:rsid w:val="00191345"/>
    <w:rsid w:val="00191674"/>
    <w:rsid w:val="00191A5B"/>
    <w:rsid w:val="00191BB8"/>
    <w:rsid w:val="00191C5C"/>
    <w:rsid w:val="001921BC"/>
    <w:rsid w:val="0019261F"/>
    <w:rsid w:val="00192878"/>
    <w:rsid w:val="00192B20"/>
    <w:rsid w:val="00192F41"/>
    <w:rsid w:val="00193687"/>
    <w:rsid w:val="00193E99"/>
    <w:rsid w:val="001943FF"/>
    <w:rsid w:val="001944EE"/>
    <w:rsid w:val="00194972"/>
    <w:rsid w:val="00194B18"/>
    <w:rsid w:val="001959BE"/>
    <w:rsid w:val="001959FC"/>
    <w:rsid w:val="00195CB9"/>
    <w:rsid w:val="00196854"/>
    <w:rsid w:val="00196A97"/>
    <w:rsid w:val="001971FE"/>
    <w:rsid w:val="001972ED"/>
    <w:rsid w:val="001979BB"/>
    <w:rsid w:val="00197E4B"/>
    <w:rsid w:val="001A01E6"/>
    <w:rsid w:val="001A0639"/>
    <w:rsid w:val="001A0B29"/>
    <w:rsid w:val="001A1259"/>
    <w:rsid w:val="001A14F3"/>
    <w:rsid w:val="001A1FB2"/>
    <w:rsid w:val="001A2CE0"/>
    <w:rsid w:val="001A3531"/>
    <w:rsid w:val="001A3690"/>
    <w:rsid w:val="001A3984"/>
    <w:rsid w:val="001A44DC"/>
    <w:rsid w:val="001A4C1E"/>
    <w:rsid w:val="001A4F1C"/>
    <w:rsid w:val="001A538B"/>
    <w:rsid w:val="001A5A6E"/>
    <w:rsid w:val="001A5D75"/>
    <w:rsid w:val="001A73B0"/>
    <w:rsid w:val="001A77B7"/>
    <w:rsid w:val="001A7900"/>
    <w:rsid w:val="001B00A0"/>
    <w:rsid w:val="001B0A63"/>
    <w:rsid w:val="001B0BF6"/>
    <w:rsid w:val="001B1416"/>
    <w:rsid w:val="001B1629"/>
    <w:rsid w:val="001B17BE"/>
    <w:rsid w:val="001B1983"/>
    <w:rsid w:val="001B1A03"/>
    <w:rsid w:val="001B1DBD"/>
    <w:rsid w:val="001B2767"/>
    <w:rsid w:val="001B2C80"/>
    <w:rsid w:val="001B2D3F"/>
    <w:rsid w:val="001B309E"/>
    <w:rsid w:val="001B3B98"/>
    <w:rsid w:val="001B3E26"/>
    <w:rsid w:val="001B4014"/>
    <w:rsid w:val="001B41EB"/>
    <w:rsid w:val="001B4206"/>
    <w:rsid w:val="001B459A"/>
    <w:rsid w:val="001B4749"/>
    <w:rsid w:val="001B4D46"/>
    <w:rsid w:val="001B5865"/>
    <w:rsid w:val="001B5F82"/>
    <w:rsid w:val="001B64AA"/>
    <w:rsid w:val="001B6AEE"/>
    <w:rsid w:val="001B6C0B"/>
    <w:rsid w:val="001B7658"/>
    <w:rsid w:val="001B7869"/>
    <w:rsid w:val="001C03F4"/>
    <w:rsid w:val="001C0BA8"/>
    <w:rsid w:val="001C1504"/>
    <w:rsid w:val="001C2715"/>
    <w:rsid w:val="001C355D"/>
    <w:rsid w:val="001C35F5"/>
    <w:rsid w:val="001C4009"/>
    <w:rsid w:val="001C419D"/>
    <w:rsid w:val="001C42E0"/>
    <w:rsid w:val="001C4857"/>
    <w:rsid w:val="001C487A"/>
    <w:rsid w:val="001C5834"/>
    <w:rsid w:val="001C5B04"/>
    <w:rsid w:val="001C5ECB"/>
    <w:rsid w:val="001C6857"/>
    <w:rsid w:val="001C696D"/>
    <w:rsid w:val="001C6B21"/>
    <w:rsid w:val="001C7880"/>
    <w:rsid w:val="001C7DE2"/>
    <w:rsid w:val="001D0203"/>
    <w:rsid w:val="001D0931"/>
    <w:rsid w:val="001D0BDE"/>
    <w:rsid w:val="001D0DFF"/>
    <w:rsid w:val="001D13C8"/>
    <w:rsid w:val="001D1483"/>
    <w:rsid w:val="001D1E62"/>
    <w:rsid w:val="001D203B"/>
    <w:rsid w:val="001D2377"/>
    <w:rsid w:val="001D24E1"/>
    <w:rsid w:val="001D260A"/>
    <w:rsid w:val="001D288D"/>
    <w:rsid w:val="001D2A7C"/>
    <w:rsid w:val="001D30D0"/>
    <w:rsid w:val="001D35BC"/>
    <w:rsid w:val="001D48A9"/>
    <w:rsid w:val="001D512D"/>
    <w:rsid w:val="001D6A95"/>
    <w:rsid w:val="001D6EDD"/>
    <w:rsid w:val="001D7115"/>
    <w:rsid w:val="001D724A"/>
    <w:rsid w:val="001D7C4E"/>
    <w:rsid w:val="001E0851"/>
    <w:rsid w:val="001E0874"/>
    <w:rsid w:val="001E12D4"/>
    <w:rsid w:val="001E14AA"/>
    <w:rsid w:val="001E1917"/>
    <w:rsid w:val="001E1A82"/>
    <w:rsid w:val="001E1F4C"/>
    <w:rsid w:val="001E1FF0"/>
    <w:rsid w:val="001E21D5"/>
    <w:rsid w:val="001E28A5"/>
    <w:rsid w:val="001E305E"/>
    <w:rsid w:val="001E38B6"/>
    <w:rsid w:val="001E3F31"/>
    <w:rsid w:val="001E421E"/>
    <w:rsid w:val="001E4340"/>
    <w:rsid w:val="001E59AB"/>
    <w:rsid w:val="001E61EA"/>
    <w:rsid w:val="001E61F8"/>
    <w:rsid w:val="001E6277"/>
    <w:rsid w:val="001E656A"/>
    <w:rsid w:val="001E66BC"/>
    <w:rsid w:val="001E6C77"/>
    <w:rsid w:val="001E6DC6"/>
    <w:rsid w:val="001E6DE5"/>
    <w:rsid w:val="001E753D"/>
    <w:rsid w:val="001E7912"/>
    <w:rsid w:val="001E7B7C"/>
    <w:rsid w:val="001F0266"/>
    <w:rsid w:val="001F0666"/>
    <w:rsid w:val="001F08BE"/>
    <w:rsid w:val="001F0AB2"/>
    <w:rsid w:val="001F0D73"/>
    <w:rsid w:val="001F155D"/>
    <w:rsid w:val="001F1E1C"/>
    <w:rsid w:val="001F21B3"/>
    <w:rsid w:val="001F2590"/>
    <w:rsid w:val="001F2CC8"/>
    <w:rsid w:val="001F3692"/>
    <w:rsid w:val="001F452D"/>
    <w:rsid w:val="001F46C4"/>
    <w:rsid w:val="001F4F78"/>
    <w:rsid w:val="001F5EBA"/>
    <w:rsid w:val="001F671A"/>
    <w:rsid w:val="001F6884"/>
    <w:rsid w:val="001F68C8"/>
    <w:rsid w:val="001F6CD6"/>
    <w:rsid w:val="001F6FE6"/>
    <w:rsid w:val="001F77FE"/>
    <w:rsid w:val="001F7B51"/>
    <w:rsid w:val="001F7BA5"/>
    <w:rsid w:val="001F7C6A"/>
    <w:rsid w:val="001F7F97"/>
    <w:rsid w:val="0020066B"/>
    <w:rsid w:val="002006E1"/>
    <w:rsid w:val="00200D13"/>
    <w:rsid w:val="00200D69"/>
    <w:rsid w:val="00200E3B"/>
    <w:rsid w:val="0020174F"/>
    <w:rsid w:val="002018A2"/>
    <w:rsid w:val="002019C8"/>
    <w:rsid w:val="00201A9F"/>
    <w:rsid w:val="00201AAF"/>
    <w:rsid w:val="00201F0B"/>
    <w:rsid w:val="00202215"/>
    <w:rsid w:val="002022FF"/>
    <w:rsid w:val="00202488"/>
    <w:rsid w:val="002026AA"/>
    <w:rsid w:val="00203730"/>
    <w:rsid w:val="002041B2"/>
    <w:rsid w:val="002041FA"/>
    <w:rsid w:val="00204CC0"/>
    <w:rsid w:val="00204CE2"/>
    <w:rsid w:val="00205520"/>
    <w:rsid w:val="00205679"/>
    <w:rsid w:val="00205BF8"/>
    <w:rsid w:val="00205DFB"/>
    <w:rsid w:val="002061BA"/>
    <w:rsid w:val="002065BD"/>
    <w:rsid w:val="00206707"/>
    <w:rsid w:val="002073B4"/>
    <w:rsid w:val="0020784E"/>
    <w:rsid w:val="00207C2F"/>
    <w:rsid w:val="00207DA0"/>
    <w:rsid w:val="00207E67"/>
    <w:rsid w:val="00211BA3"/>
    <w:rsid w:val="00211FBB"/>
    <w:rsid w:val="00212A17"/>
    <w:rsid w:val="00213FD7"/>
    <w:rsid w:val="00214B91"/>
    <w:rsid w:val="00216234"/>
    <w:rsid w:val="002162D0"/>
    <w:rsid w:val="0021670F"/>
    <w:rsid w:val="002169EE"/>
    <w:rsid w:val="00216E2B"/>
    <w:rsid w:val="00216FC8"/>
    <w:rsid w:val="002176BD"/>
    <w:rsid w:val="002177B0"/>
    <w:rsid w:val="00217802"/>
    <w:rsid w:val="00221465"/>
    <w:rsid w:val="002214A4"/>
    <w:rsid w:val="00221651"/>
    <w:rsid w:val="00221D41"/>
    <w:rsid w:val="00222283"/>
    <w:rsid w:val="002223B8"/>
    <w:rsid w:val="00222DBA"/>
    <w:rsid w:val="00223043"/>
    <w:rsid w:val="00223072"/>
    <w:rsid w:val="002230B1"/>
    <w:rsid w:val="0022336C"/>
    <w:rsid w:val="00223891"/>
    <w:rsid w:val="00223C36"/>
    <w:rsid w:val="00224BD4"/>
    <w:rsid w:val="00224D88"/>
    <w:rsid w:val="00224DA4"/>
    <w:rsid w:val="002260AF"/>
    <w:rsid w:val="00226EAF"/>
    <w:rsid w:val="00227329"/>
    <w:rsid w:val="00230031"/>
    <w:rsid w:val="00230290"/>
    <w:rsid w:val="00230F8C"/>
    <w:rsid w:val="00230FDD"/>
    <w:rsid w:val="002311E0"/>
    <w:rsid w:val="002316A0"/>
    <w:rsid w:val="00231872"/>
    <w:rsid w:val="0023215F"/>
    <w:rsid w:val="00232227"/>
    <w:rsid w:val="002326E0"/>
    <w:rsid w:val="00232CD2"/>
    <w:rsid w:val="00233751"/>
    <w:rsid w:val="0023385B"/>
    <w:rsid w:val="00234455"/>
    <w:rsid w:val="00234903"/>
    <w:rsid w:val="00234B06"/>
    <w:rsid w:val="00234CCD"/>
    <w:rsid w:val="002354B5"/>
    <w:rsid w:val="00235D51"/>
    <w:rsid w:val="00235F4A"/>
    <w:rsid w:val="002360FB"/>
    <w:rsid w:val="00236B50"/>
    <w:rsid w:val="00236C3E"/>
    <w:rsid w:val="00236C55"/>
    <w:rsid w:val="002370F9"/>
    <w:rsid w:val="002371D4"/>
    <w:rsid w:val="002376D3"/>
    <w:rsid w:val="00237D02"/>
    <w:rsid w:val="00237E36"/>
    <w:rsid w:val="0024003B"/>
    <w:rsid w:val="00240C40"/>
    <w:rsid w:val="00241470"/>
    <w:rsid w:val="00241491"/>
    <w:rsid w:val="00241749"/>
    <w:rsid w:val="00242341"/>
    <w:rsid w:val="0024266B"/>
    <w:rsid w:val="00242713"/>
    <w:rsid w:val="00242FC8"/>
    <w:rsid w:val="0024418E"/>
    <w:rsid w:val="00244452"/>
    <w:rsid w:val="002445CF"/>
    <w:rsid w:val="002445FE"/>
    <w:rsid w:val="00244AA5"/>
    <w:rsid w:val="00244E9A"/>
    <w:rsid w:val="00244F36"/>
    <w:rsid w:val="002450D8"/>
    <w:rsid w:val="00245734"/>
    <w:rsid w:val="00245BCD"/>
    <w:rsid w:val="00245C33"/>
    <w:rsid w:val="00246B0E"/>
    <w:rsid w:val="00246CFF"/>
    <w:rsid w:val="002475BB"/>
    <w:rsid w:val="00247886"/>
    <w:rsid w:val="002500D3"/>
    <w:rsid w:val="002501E1"/>
    <w:rsid w:val="002509DD"/>
    <w:rsid w:val="00250D0E"/>
    <w:rsid w:val="00251FE9"/>
    <w:rsid w:val="002535D1"/>
    <w:rsid w:val="00253EA5"/>
    <w:rsid w:val="002540F3"/>
    <w:rsid w:val="00254100"/>
    <w:rsid w:val="002542D4"/>
    <w:rsid w:val="002545B7"/>
    <w:rsid w:val="00254679"/>
    <w:rsid w:val="00254731"/>
    <w:rsid w:val="00254936"/>
    <w:rsid w:val="00254AEF"/>
    <w:rsid w:val="00254CCE"/>
    <w:rsid w:val="00254DCD"/>
    <w:rsid w:val="0025563C"/>
    <w:rsid w:val="00255687"/>
    <w:rsid w:val="0025574D"/>
    <w:rsid w:val="00255903"/>
    <w:rsid w:val="00255999"/>
    <w:rsid w:val="00256081"/>
    <w:rsid w:val="002561D7"/>
    <w:rsid w:val="00256383"/>
    <w:rsid w:val="00257392"/>
    <w:rsid w:val="002576A4"/>
    <w:rsid w:val="002609A5"/>
    <w:rsid w:val="00260CB0"/>
    <w:rsid w:val="00261C9D"/>
    <w:rsid w:val="00261DB8"/>
    <w:rsid w:val="0026258A"/>
    <w:rsid w:val="0026266B"/>
    <w:rsid w:val="0026282C"/>
    <w:rsid w:val="00262B3E"/>
    <w:rsid w:val="00262F1F"/>
    <w:rsid w:val="00263112"/>
    <w:rsid w:val="0026311E"/>
    <w:rsid w:val="00264C2A"/>
    <w:rsid w:val="002651C6"/>
    <w:rsid w:val="0026552E"/>
    <w:rsid w:val="002657E8"/>
    <w:rsid w:val="00265C88"/>
    <w:rsid w:val="00265CA4"/>
    <w:rsid w:val="00265FE7"/>
    <w:rsid w:val="0026624C"/>
    <w:rsid w:val="00266434"/>
    <w:rsid w:val="00266A8B"/>
    <w:rsid w:val="00267320"/>
    <w:rsid w:val="00267512"/>
    <w:rsid w:val="002675E5"/>
    <w:rsid w:val="002675F8"/>
    <w:rsid w:val="00267B76"/>
    <w:rsid w:val="0027014B"/>
    <w:rsid w:val="002703A6"/>
    <w:rsid w:val="00270621"/>
    <w:rsid w:val="0027274B"/>
    <w:rsid w:val="00272C2E"/>
    <w:rsid w:val="00273009"/>
    <w:rsid w:val="002732DD"/>
    <w:rsid w:val="002734B2"/>
    <w:rsid w:val="00273BF3"/>
    <w:rsid w:val="00274572"/>
    <w:rsid w:val="002746EE"/>
    <w:rsid w:val="00274A66"/>
    <w:rsid w:val="00274D1B"/>
    <w:rsid w:val="00275119"/>
    <w:rsid w:val="002754F4"/>
    <w:rsid w:val="002759D9"/>
    <w:rsid w:val="00275E1F"/>
    <w:rsid w:val="002764C8"/>
    <w:rsid w:val="00276C4C"/>
    <w:rsid w:val="00276EEB"/>
    <w:rsid w:val="00276F41"/>
    <w:rsid w:val="002770FD"/>
    <w:rsid w:val="00277167"/>
    <w:rsid w:val="0027731A"/>
    <w:rsid w:val="002774E8"/>
    <w:rsid w:val="0028047E"/>
    <w:rsid w:val="002805A3"/>
    <w:rsid w:val="00280625"/>
    <w:rsid w:val="002809F4"/>
    <w:rsid w:val="00280F9E"/>
    <w:rsid w:val="00281D9A"/>
    <w:rsid w:val="00282414"/>
    <w:rsid w:val="002826D9"/>
    <w:rsid w:val="00282C94"/>
    <w:rsid w:val="00282F57"/>
    <w:rsid w:val="002831BF"/>
    <w:rsid w:val="00283508"/>
    <w:rsid w:val="00284C59"/>
    <w:rsid w:val="00284FEE"/>
    <w:rsid w:val="0028541E"/>
    <w:rsid w:val="00285DFB"/>
    <w:rsid w:val="00286247"/>
    <w:rsid w:val="002862B8"/>
    <w:rsid w:val="00286411"/>
    <w:rsid w:val="00286BAA"/>
    <w:rsid w:val="00286C90"/>
    <w:rsid w:val="00286E81"/>
    <w:rsid w:val="00286F36"/>
    <w:rsid w:val="00287684"/>
    <w:rsid w:val="002878C8"/>
    <w:rsid w:val="002879A4"/>
    <w:rsid w:val="00287D00"/>
    <w:rsid w:val="00287DD3"/>
    <w:rsid w:val="00287F65"/>
    <w:rsid w:val="002904BB"/>
    <w:rsid w:val="0029066E"/>
    <w:rsid w:val="0029071E"/>
    <w:rsid w:val="00290745"/>
    <w:rsid w:val="0029099F"/>
    <w:rsid w:val="00290A9C"/>
    <w:rsid w:val="0029104E"/>
    <w:rsid w:val="002913AD"/>
    <w:rsid w:val="002914A4"/>
    <w:rsid w:val="00291E0D"/>
    <w:rsid w:val="00291FA6"/>
    <w:rsid w:val="00292424"/>
    <w:rsid w:val="0029271F"/>
    <w:rsid w:val="00292DF8"/>
    <w:rsid w:val="00292EC5"/>
    <w:rsid w:val="00292F5B"/>
    <w:rsid w:val="00292F7D"/>
    <w:rsid w:val="0029356A"/>
    <w:rsid w:val="00293EDD"/>
    <w:rsid w:val="00293FB2"/>
    <w:rsid w:val="002942A5"/>
    <w:rsid w:val="00294EC2"/>
    <w:rsid w:val="00295161"/>
    <w:rsid w:val="0029576C"/>
    <w:rsid w:val="002960F8"/>
    <w:rsid w:val="0029638F"/>
    <w:rsid w:val="0029674E"/>
    <w:rsid w:val="00296D74"/>
    <w:rsid w:val="00297682"/>
    <w:rsid w:val="00297B91"/>
    <w:rsid w:val="002A018F"/>
    <w:rsid w:val="002A0425"/>
    <w:rsid w:val="002A044B"/>
    <w:rsid w:val="002A1106"/>
    <w:rsid w:val="002A128F"/>
    <w:rsid w:val="002A2369"/>
    <w:rsid w:val="002A2855"/>
    <w:rsid w:val="002A2D36"/>
    <w:rsid w:val="002A2DE5"/>
    <w:rsid w:val="002A319C"/>
    <w:rsid w:val="002A393D"/>
    <w:rsid w:val="002A476C"/>
    <w:rsid w:val="002A51C9"/>
    <w:rsid w:val="002A5856"/>
    <w:rsid w:val="002A5D5D"/>
    <w:rsid w:val="002A5E98"/>
    <w:rsid w:val="002A5F35"/>
    <w:rsid w:val="002A61EC"/>
    <w:rsid w:val="002A62AA"/>
    <w:rsid w:val="002A707D"/>
    <w:rsid w:val="002A74D7"/>
    <w:rsid w:val="002A7672"/>
    <w:rsid w:val="002A7A6B"/>
    <w:rsid w:val="002A7A97"/>
    <w:rsid w:val="002A7C93"/>
    <w:rsid w:val="002A7EB3"/>
    <w:rsid w:val="002B0DC9"/>
    <w:rsid w:val="002B134C"/>
    <w:rsid w:val="002B13B0"/>
    <w:rsid w:val="002B1B35"/>
    <w:rsid w:val="002B1E45"/>
    <w:rsid w:val="002B24F3"/>
    <w:rsid w:val="002B26D6"/>
    <w:rsid w:val="002B2878"/>
    <w:rsid w:val="002B2CE2"/>
    <w:rsid w:val="002B2F32"/>
    <w:rsid w:val="002B335D"/>
    <w:rsid w:val="002B33BA"/>
    <w:rsid w:val="002B3E78"/>
    <w:rsid w:val="002B3F6B"/>
    <w:rsid w:val="002B3FD5"/>
    <w:rsid w:val="002B5405"/>
    <w:rsid w:val="002B5674"/>
    <w:rsid w:val="002B56E9"/>
    <w:rsid w:val="002B5AF2"/>
    <w:rsid w:val="002B5B7D"/>
    <w:rsid w:val="002B607A"/>
    <w:rsid w:val="002B6390"/>
    <w:rsid w:val="002B677F"/>
    <w:rsid w:val="002B6A33"/>
    <w:rsid w:val="002B6EFE"/>
    <w:rsid w:val="002B7299"/>
    <w:rsid w:val="002B736C"/>
    <w:rsid w:val="002B7584"/>
    <w:rsid w:val="002B76EC"/>
    <w:rsid w:val="002C0077"/>
    <w:rsid w:val="002C06F4"/>
    <w:rsid w:val="002C08EC"/>
    <w:rsid w:val="002C12AA"/>
    <w:rsid w:val="002C15EB"/>
    <w:rsid w:val="002C1733"/>
    <w:rsid w:val="002C1B69"/>
    <w:rsid w:val="002C1EA2"/>
    <w:rsid w:val="002C2571"/>
    <w:rsid w:val="002C2B48"/>
    <w:rsid w:val="002C32BD"/>
    <w:rsid w:val="002C3CF8"/>
    <w:rsid w:val="002C403A"/>
    <w:rsid w:val="002C42BC"/>
    <w:rsid w:val="002C486E"/>
    <w:rsid w:val="002C554F"/>
    <w:rsid w:val="002C5993"/>
    <w:rsid w:val="002C5A31"/>
    <w:rsid w:val="002C6191"/>
    <w:rsid w:val="002C653E"/>
    <w:rsid w:val="002C6812"/>
    <w:rsid w:val="002C6916"/>
    <w:rsid w:val="002C692A"/>
    <w:rsid w:val="002C6A8E"/>
    <w:rsid w:val="002C71EC"/>
    <w:rsid w:val="002C7292"/>
    <w:rsid w:val="002C7399"/>
    <w:rsid w:val="002C73C9"/>
    <w:rsid w:val="002C74F6"/>
    <w:rsid w:val="002C76F0"/>
    <w:rsid w:val="002C7848"/>
    <w:rsid w:val="002C7BC6"/>
    <w:rsid w:val="002C7C08"/>
    <w:rsid w:val="002C7E2C"/>
    <w:rsid w:val="002D0108"/>
    <w:rsid w:val="002D0593"/>
    <w:rsid w:val="002D06EB"/>
    <w:rsid w:val="002D072F"/>
    <w:rsid w:val="002D0E17"/>
    <w:rsid w:val="002D0E43"/>
    <w:rsid w:val="002D1097"/>
    <w:rsid w:val="002D15E1"/>
    <w:rsid w:val="002D1873"/>
    <w:rsid w:val="002D1C11"/>
    <w:rsid w:val="002D1E44"/>
    <w:rsid w:val="002D1E92"/>
    <w:rsid w:val="002D1FDF"/>
    <w:rsid w:val="002D2CD0"/>
    <w:rsid w:val="002D3921"/>
    <w:rsid w:val="002D39FC"/>
    <w:rsid w:val="002D3C22"/>
    <w:rsid w:val="002D421E"/>
    <w:rsid w:val="002D4498"/>
    <w:rsid w:val="002D4505"/>
    <w:rsid w:val="002D5374"/>
    <w:rsid w:val="002D5411"/>
    <w:rsid w:val="002D55DE"/>
    <w:rsid w:val="002D5A45"/>
    <w:rsid w:val="002D5AC6"/>
    <w:rsid w:val="002D5D3F"/>
    <w:rsid w:val="002D6167"/>
    <w:rsid w:val="002D6C0B"/>
    <w:rsid w:val="002D6DA8"/>
    <w:rsid w:val="002D743A"/>
    <w:rsid w:val="002D755B"/>
    <w:rsid w:val="002D7623"/>
    <w:rsid w:val="002D7812"/>
    <w:rsid w:val="002E0288"/>
    <w:rsid w:val="002E064D"/>
    <w:rsid w:val="002E09CF"/>
    <w:rsid w:val="002E0B00"/>
    <w:rsid w:val="002E0ECD"/>
    <w:rsid w:val="002E1308"/>
    <w:rsid w:val="002E1526"/>
    <w:rsid w:val="002E155B"/>
    <w:rsid w:val="002E1837"/>
    <w:rsid w:val="002E1944"/>
    <w:rsid w:val="002E2673"/>
    <w:rsid w:val="002E3016"/>
    <w:rsid w:val="002E3357"/>
    <w:rsid w:val="002E3487"/>
    <w:rsid w:val="002E34B1"/>
    <w:rsid w:val="002E3598"/>
    <w:rsid w:val="002E3D0E"/>
    <w:rsid w:val="002E4329"/>
    <w:rsid w:val="002E528D"/>
    <w:rsid w:val="002E57B0"/>
    <w:rsid w:val="002E6299"/>
    <w:rsid w:val="002E716E"/>
    <w:rsid w:val="002E726F"/>
    <w:rsid w:val="002E7280"/>
    <w:rsid w:val="002E799D"/>
    <w:rsid w:val="002E7C56"/>
    <w:rsid w:val="002F0007"/>
    <w:rsid w:val="002F020C"/>
    <w:rsid w:val="002F0972"/>
    <w:rsid w:val="002F0A13"/>
    <w:rsid w:val="002F0F3C"/>
    <w:rsid w:val="002F0F81"/>
    <w:rsid w:val="002F150D"/>
    <w:rsid w:val="002F1F94"/>
    <w:rsid w:val="002F1FF3"/>
    <w:rsid w:val="002F2272"/>
    <w:rsid w:val="002F2A2D"/>
    <w:rsid w:val="002F2E31"/>
    <w:rsid w:val="002F2E40"/>
    <w:rsid w:val="002F35F9"/>
    <w:rsid w:val="002F3B13"/>
    <w:rsid w:val="002F3D09"/>
    <w:rsid w:val="002F4271"/>
    <w:rsid w:val="002F435F"/>
    <w:rsid w:val="002F45E1"/>
    <w:rsid w:val="002F47C2"/>
    <w:rsid w:val="002F4C81"/>
    <w:rsid w:val="002F4E08"/>
    <w:rsid w:val="002F52AE"/>
    <w:rsid w:val="002F56DA"/>
    <w:rsid w:val="002F5935"/>
    <w:rsid w:val="002F5B33"/>
    <w:rsid w:val="002F5B79"/>
    <w:rsid w:val="002F5F7B"/>
    <w:rsid w:val="002F612E"/>
    <w:rsid w:val="002F6E45"/>
    <w:rsid w:val="002F7110"/>
    <w:rsid w:val="002F720D"/>
    <w:rsid w:val="002F739F"/>
    <w:rsid w:val="002F74B7"/>
    <w:rsid w:val="002F791D"/>
    <w:rsid w:val="002F7FD6"/>
    <w:rsid w:val="00300165"/>
    <w:rsid w:val="00300390"/>
    <w:rsid w:val="00300905"/>
    <w:rsid w:val="00300B56"/>
    <w:rsid w:val="00300E51"/>
    <w:rsid w:val="003014FC"/>
    <w:rsid w:val="00301E06"/>
    <w:rsid w:val="00302C43"/>
    <w:rsid w:val="0030328B"/>
    <w:rsid w:val="00303D3F"/>
    <w:rsid w:val="00303DDE"/>
    <w:rsid w:val="003049CF"/>
    <w:rsid w:val="00304C17"/>
    <w:rsid w:val="00304EC9"/>
    <w:rsid w:val="0030517B"/>
    <w:rsid w:val="00305718"/>
    <w:rsid w:val="003059A7"/>
    <w:rsid w:val="00305C8E"/>
    <w:rsid w:val="003060B2"/>
    <w:rsid w:val="0030662C"/>
    <w:rsid w:val="0030690A"/>
    <w:rsid w:val="003075EC"/>
    <w:rsid w:val="0030793C"/>
    <w:rsid w:val="00310761"/>
    <w:rsid w:val="00310A0C"/>
    <w:rsid w:val="00310DC0"/>
    <w:rsid w:val="00311736"/>
    <w:rsid w:val="0031175B"/>
    <w:rsid w:val="0031203D"/>
    <w:rsid w:val="003120AB"/>
    <w:rsid w:val="003123F9"/>
    <w:rsid w:val="0031292D"/>
    <w:rsid w:val="00312C03"/>
    <w:rsid w:val="0031341B"/>
    <w:rsid w:val="00313D6A"/>
    <w:rsid w:val="0031402C"/>
    <w:rsid w:val="0031431B"/>
    <w:rsid w:val="00314637"/>
    <w:rsid w:val="003146F6"/>
    <w:rsid w:val="003153FA"/>
    <w:rsid w:val="0031557C"/>
    <w:rsid w:val="00315639"/>
    <w:rsid w:val="00315CA5"/>
    <w:rsid w:val="00315D37"/>
    <w:rsid w:val="00316219"/>
    <w:rsid w:val="003167DC"/>
    <w:rsid w:val="0031698C"/>
    <w:rsid w:val="00316D6C"/>
    <w:rsid w:val="00316F33"/>
    <w:rsid w:val="00316F99"/>
    <w:rsid w:val="0031719D"/>
    <w:rsid w:val="00317AEE"/>
    <w:rsid w:val="00317DF1"/>
    <w:rsid w:val="003200BF"/>
    <w:rsid w:val="003205D7"/>
    <w:rsid w:val="003220D9"/>
    <w:rsid w:val="00322330"/>
    <w:rsid w:val="00322926"/>
    <w:rsid w:val="00322E07"/>
    <w:rsid w:val="00322F4F"/>
    <w:rsid w:val="0032330C"/>
    <w:rsid w:val="003236AC"/>
    <w:rsid w:val="00323C03"/>
    <w:rsid w:val="00324CF1"/>
    <w:rsid w:val="0032532D"/>
    <w:rsid w:val="00325519"/>
    <w:rsid w:val="00325CF0"/>
    <w:rsid w:val="00325D89"/>
    <w:rsid w:val="00326283"/>
    <w:rsid w:val="003262F6"/>
    <w:rsid w:val="00326ACC"/>
    <w:rsid w:val="00326B5D"/>
    <w:rsid w:val="00326F2A"/>
    <w:rsid w:val="00327187"/>
    <w:rsid w:val="003271F8"/>
    <w:rsid w:val="003275D2"/>
    <w:rsid w:val="00327643"/>
    <w:rsid w:val="00327C96"/>
    <w:rsid w:val="0033030E"/>
    <w:rsid w:val="003309EA"/>
    <w:rsid w:val="00331156"/>
    <w:rsid w:val="00331437"/>
    <w:rsid w:val="00331620"/>
    <w:rsid w:val="003317A4"/>
    <w:rsid w:val="00331D9D"/>
    <w:rsid w:val="00332216"/>
    <w:rsid w:val="003325C1"/>
    <w:rsid w:val="00332C51"/>
    <w:rsid w:val="00332FB8"/>
    <w:rsid w:val="00333587"/>
    <w:rsid w:val="00333B4E"/>
    <w:rsid w:val="00334027"/>
    <w:rsid w:val="00334B02"/>
    <w:rsid w:val="00334F97"/>
    <w:rsid w:val="003360F9"/>
    <w:rsid w:val="00336B8C"/>
    <w:rsid w:val="00337041"/>
    <w:rsid w:val="00340B19"/>
    <w:rsid w:val="00340B9E"/>
    <w:rsid w:val="00340FD3"/>
    <w:rsid w:val="00341065"/>
    <w:rsid w:val="00341284"/>
    <w:rsid w:val="0034183C"/>
    <w:rsid w:val="00341DF0"/>
    <w:rsid w:val="00341F5B"/>
    <w:rsid w:val="00342135"/>
    <w:rsid w:val="00342206"/>
    <w:rsid w:val="00342C74"/>
    <w:rsid w:val="00343036"/>
    <w:rsid w:val="0034367F"/>
    <w:rsid w:val="00343AE9"/>
    <w:rsid w:val="00343EBF"/>
    <w:rsid w:val="00344597"/>
    <w:rsid w:val="00344F0F"/>
    <w:rsid w:val="003453FD"/>
    <w:rsid w:val="00345CDF"/>
    <w:rsid w:val="00345FD3"/>
    <w:rsid w:val="003467BB"/>
    <w:rsid w:val="003467ED"/>
    <w:rsid w:val="00346AC2"/>
    <w:rsid w:val="00346B5A"/>
    <w:rsid w:val="0034726C"/>
    <w:rsid w:val="003474F2"/>
    <w:rsid w:val="0034753A"/>
    <w:rsid w:val="0034773A"/>
    <w:rsid w:val="00347A07"/>
    <w:rsid w:val="00347AD5"/>
    <w:rsid w:val="00347DAB"/>
    <w:rsid w:val="00350BA4"/>
    <w:rsid w:val="00350CAE"/>
    <w:rsid w:val="00350DE0"/>
    <w:rsid w:val="00350EC7"/>
    <w:rsid w:val="003517CD"/>
    <w:rsid w:val="0035192D"/>
    <w:rsid w:val="00351B1D"/>
    <w:rsid w:val="00352639"/>
    <w:rsid w:val="003529E8"/>
    <w:rsid w:val="00352CB4"/>
    <w:rsid w:val="0035366E"/>
    <w:rsid w:val="003538B8"/>
    <w:rsid w:val="00353AC5"/>
    <w:rsid w:val="00353E22"/>
    <w:rsid w:val="0035409C"/>
    <w:rsid w:val="0035418C"/>
    <w:rsid w:val="00354AFE"/>
    <w:rsid w:val="00354CE1"/>
    <w:rsid w:val="00354F74"/>
    <w:rsid w:val="00355A34"/>
    <w:rsid w:val="00355A71"/>
    <w:rsid w:val="00355B49"/>
    <w:rsid w:val="00355E0F"/>
    <w:rsid w:val="003560B1"/>
    <w:rsid w:val="00356544"/>
    <w:rsid w:val="003569CE"/>
    <w:rsid w:val="0035723E"/>
    <w:rsid w:val="00357B37"/>
    <w:rsid w:val="003609A0"/>
    <w:rsid w:val="003611AB"/>
    <w:rsid w:val="0036159E"/>
    <w:rsid w:val="003616FA"/>
    <w:rsid w:val="00361B59"/>
    <w:rsid w:val="00361FF9"/>
    <w:rsid w:val="00362457"/>
    <w:rsid w:val="00362AB2"/>
    <w:rsid w:val="00362B36"/>
    <w:rsid w:val="0036314F"/>
    <w:rsid w:val="00363314"/>
    <w:rsid w:val="00363381"/>
    <w:rsid w:val="0036340A"/>
    <w:rsid w:val="003634FE"/>
    <w:rsid w:val="00363690"/>
    <w:rsid w:val="0036369F"/>
    <w:rsid w:val="003637EB"/>
    <w:rsid w:val="003639FE"/>
    <w:rsid w:val="00363B17"/>
    <w:rsid w:val="00363EE2"/>
    <w:rsid w:val="00364A30"/>
    <w:rsid w:val="00365791"/>
    <w:rsid w:val="00365881"/>
    <w:rsid w:val="00366337"/>
    <w:rsid w:val="00366444"/>
    <w:rsid w:val="003673CB"/>
    <w:rsid w:val="0036756C"/>
    <w:rsid w:val="00367C71"/>
    <w:rsid w:val="0037034E"/>
    <w:rsid w:val="00370642"/>
    <w:rsid w:val="00370764"/>
    <w:rsid w:val="00370D01"/>
    <w:rsid w:val="00370E68"/>
    <w:rsid w:val="003715B7"/>
    <w:rsid w:val="0037177E"/>
    <w:rsid w:val="003718EA"/>
    <w:rsid w:val="00371CD6"/>
    <w:rsid w:val="003729A9"/>
    <w:rsid w:val="003731D1"/>
    <w:rsid w:val="00373594"/>
    <w:rsid w:val="00373DDD"/>
    <w:rsid w:val="00373EC1"/>
    <w:rsid w:val="00374255"/>
    <w:rsid w:val="003747B5"/>
    <w:rsid w:val="003748FD"/>
    <w:rsid w:val="00374A2F"/>
    <w:rsid w:val="00375174"/>
    <w:rsid w:val="00375182"/>
    <w:rsid w:val="0037554A"/>
    <w:rsid w:val="00375BEE"/>
    <w:rsid w:val="0037602C"/>
    <w:rsid w:val="00376654"/>
    <w:rsid w:val="00376A86"/>
    <w:rsid w:val="003773BA"/>
    <w:rsid w:val="003776B5"/>
    <w:rsid w:val="0037772D"/>
    <w:rsid w:val="00377940"/>
    <w:rsid w:val="003800F2"/>
    <w:rsid w:val="0038045C"/>
    <w:rsid w:val="0038085A"/>
    <w:rsid w:val="00381F5B"/>
    <w:rsid w:val="003821A4"/>
    <w:rsid w:val="003821F1"/>
    <w:rsid w:val="0038281A"/>
    <w:rsid w:val="0038336D"/>
    <w:rsid w:val="00383412"/>
    <w:rsid w:val="00383922"/>
    <w:rsid w:val="003842B6"/>
    <w:rsid w:val="003849AA"/>
    <w:rsid w:val="003851BE"/>
    <w:rsid w:val="00385A45"/>
    <w:rsid w:val="00385E1E"/>
    <w:rsid w:val="00385F91"/>
    <w:rsid w:val="0038601E"/>
    <w:rsid w:val="00386B40"/>
    <w:rsid w:val="00386F0B"/>
    <w:rsid w:val="003872AD"/>
    <w:rsid w:val="003878EB"/>
    <w:rsid w:val="00387E3C"/>
    <w:rsid w:val="00387E4C"/>
    <w:rsid w:val="00387EC8"/>
    <w:rsid w:val="00390D6F"/>
    <w:rsid w:val="003911DD"/>
    <w:rsid w:val="00392319"/>
    <w:rsid w:val="00392453"/>
    <w:rsid w:val="0039261D"/>
    <w:rsid w:val="003927DD"/>
    <w:rsid w:val="00392934"/>
    <w:rsid w:val="0039352B"/>
    <w:rsid w:val="00393793"/>
    <w:rsid w:val="00393D16"/>
    <w:rsid w:val="00394370"/>
    <w:rsid w:val="00394B94"/>
    <w:rsid w:val="00394E92"/>
    <w:rsid w:val="00395409"/>
    <w:rsid w:val="00395653"/>
    <w:rsid w:val="003956BF"/>
    <w:rsid w:val="00395B72"/>
    <w:rsid w:val="00396167"/>
    <w:rsid w:val="00397042"/>
    <w:rsid w:val="00397634"/>
    <w:rsid w:val="00397E75"/>
    <w:rsid w:val="00397FB0"/>
    <w:rsid w:val="003A1298"/>
    <w:rsid w:val="003A1882"/>
    <w:rsid w:val="003A215A"/>
    <w:rsid w:val="003A2310"/>
    <w:rsid w:val="003A24FB"/>
    <w:rsid w:val="003A253A"/>
    <w:rsid w:val="003A2B43"/>
    <w:rsid w:val="003A2C8B"/>
    <w:rsid w:val="003A32F0"/>
    <w:rsid w:val="003A3D1B"/>
    <w:rsid w:val="003A4C6D"/>
    <w:rsid w:val="003A4DE9"/>
    <w:rsid w:val="003A539E"/>
    <w:rsid w:val="003A55D8"/>
    <w:rsid w:val="003A5F82"/>
    <w:rsid w:val="003A6150"/>
    <w:rsid w:val="003A628A"/>
    <w:rsid w:val="003A678E"/>
    <w:rsid w:val="003A6B78"/>
    <w:rsid w:val="003A6CD2"/>
    <w:rsid w:val="003A73AC"/>
    <w:rsid w:val="003A757C"/>
    <w:rsid w:val="003A764A"/>
    <w:rsid w:val="003A7835"/>
    <w:rsid w:val="003A787B"/>
    <w:rsid w:val="003A7E3E"/>
    <w:rsid w:val="003B02BC"/>
    <w:rsid w:val="003B04BF"/>
    <w:rsid w:val="003B0FD7"/>
    <w:rsid w:val="003B160D"/>
    <w:rsid w:val="003B2EC2"/>
    <w:rsid w:val="003B3119"/>
    <w:rsid w:val="003B3143"/>
    <w:rsid w:val="003B325F"/>
    <w:rsid w:val="003B32E5"/>
    <w:rsid w:val="003B3B12"/>
    <w:rsid w:val="003B4108"/>
    <w:rsid w:val="003B4975"/>
    <w:rsid w:val="003B4CEC"/>
    <w:rsid w:val="003B51B7"/>
    <w:rsid w:val="003B5434"/>
    <w:rsid w:val="003B5653"/>
    <w:rsid w:val="003B5865"/>
    <w:rsid w:val="003B6174"/>
    <w:rsid w:val="003B6187"/>
    <w:rsid w:val="003B6188"/>
    <w:rsid w:val="003B650D"/>
    <w:rsid w:val="003B6855"/>
    <w:rsid w:val="003B6B43"/>
    <w:rsid w:val="003B7115"/>
    <w:rsid w:val="003B7236"/>
    <w:rsid w:val="003B763B"/>
    <w:rsid w:val="003B768E"/>
    <w:rsid w:val="003C05FF"/>
    <w:rsid w:val="003C1629"/>
    <w:rsid w:val="003C1883"/>
    <w:rsid w:val="003C193D"/>
    <w:rsid w:val="003C19F5"/>
    <w:rsid w:val="003C227F"/>
    <w:rsid w:val="003C29FE"/>
    <w:rsid w:val="003C2AE9"/>
    <w:rsid w:val="003C2B71"/>
    <w:rsid w:val="003C3577"/>
    <w:rsid w:val="003C36FB"/>
    <w:rsid w:val="003C37D2"/>
    <w:rsid w:val="003C384B"/>
    <w:rsid w:val="003C3934"/>
    <w:rsid w:val="003C3BC0"/>
    <w:rsid w:val="003C3E8C"/>
    <w:rsid w:val="003C4074"/>
    <w:rsid w:val="003C4154"/>
    <w:rsid w:val="003C45C0"/>
    <w:rsid w:val="003C49D3"/>
    <w:rsid w:val="003C4CC6"/>
    <w:rsid w:val="003C550E"/>
    <w:rsid w:val="003C580C"/>
    <w:rsid w:val="003C593F"/>
    <w:rsid w:val="003C59C8"/>
    <w:rsid w:val="003C5E5F"/>
    <w:rsid w:val="003C6549"/>
    <w:rsid w:val="003C6867"/>
    <w:rsid w:val="003C7509"/>
    <w:rsid w:val="003C78C2"/>
    <w:rsid w:val="003C7F43"/>
    <w:rsid w:val="003D027E"/>
    <w:rsid w:val="003D092A"/>
    <w:rsid w:val="003D149E"/>
    <w:rsid w:val="003D1556"/>
    <w:rsid w:val="003D15EA"/>
    <w:rsid w:val="003D1726"/>
    <w:rsid w:val="003D27A0"/>
    <w:rsid w:val="003D2A81"/>
    <w:rsid w:val="003D2DA4"/>
    <w:rsid w:val="003D2E94"/>
    <w:rsid w:val="003D3109"/>
    <w:rsid w:val="003D3259"/>
    <w:rsid w:val="003D3395"/>
    <w:rsid w:val="003D3B02"/>
    <w:rsid w:val="003D3C08"/>
    <w:rsid w:val="003D3D6F"/>
    <w:rsid w:val="003D460B"/>
    <w:rsid w:val="003D4661"/>
    <w:rsid w:val="003D4795"/>
    <w:rsid w:val="003D5700"/>
    <w:rsid w:val="003D5938"/>
    <w:rsid w:val="003D5EE2"/>
    <w:rsid w:val="003D5F0C"/>
    <w:rsid w:val="003D631E"/>
    <w:rsid w:val="003D67DA"/>
    <w:rsid w:val="003D688D"/>
    <w:rsid w:val="003D6C89"/>
    <w:rsid w:val="003E012C"/>
    <w:rsid w:val="003E0176"/>
    <w:rsid w:val="003E0212"/>
    <w:rsid w:val="003E085C"/>
    <w:rsid w:val="003E0F5B"/>
    <w:rsid w:val="003E193F"/>
    <w:rsid w:val="003E1F04"/>
    <w:rsid w:val="003E2544"/>
    <w:rsid w:val="003E28F3"/>
    <w:rsid w:val="003E2AB9"/>
    <w:rsid w:val="003E37A4"/>
    <w:rsid w:val="003E4320"/>
    <w:rsid w:val="003E43B3"/>
    <w:rsid w:val="003E4F53"/>
    <w:rsid w:val="003E506B"/>
    <w:rsid w:val="003E52E9"/>
    <w:rsid w:val="003E555D"/>
    <w:rsid w:val="003E5580"/>
    <w:rsid w:val="003E55F3"/>
    <w:rsid w:val="003E5606"/>
    <w:rsid w:val="003E5766"/>
    <w:rsid w:val="003E58AF"/>
    <w:rsid w:val="003E5F3C"/>
    <w:rsid w:val="003E61A2"/>
    <w:rsid w:val="003E6563"/>
    <w:rsid w:val="003E69E4"/>
    <w:rsid w:val="003E6F66"/>
    <w:rsid w:val="003F07F0"/>
    <w:rsid w:val="003F0879"/>
    <w:rsid w:val="003F0C08"/>
    <w:rsid w:val="003F0D9F"/>
    <w:rsid w:val="003F0E10"/>
    <w:rsid w:val="003F1C2E"/>
    <w:rsid w:val="003F2842"/>
    <w:rsid w:val="003F3E04"/>
    <w:rsid w:val="003F43E2"/>
    <w:rsid w:val="003F4523"/>
    <w:rsid w:val="003F4560"/>
    <w:rsid w:val="003F46C6"/>
    <w:rsid w:val="003F4F14"/>
    <w:rsid w:val="003F584D"/>
    <w:rsid w:val="003F5854"/>
    <w:rsid w:val="003F5B07"/>
    <w:rsid w:val="003F6557"/>
    <w:rsid w:val="003F6639"/>
    <w:rsid w:val="003F6726"/>
    <w:rsid w:val="003F6F2B"/>
    <w:rsid w:val="003F713C"/>
    <w:rsid w:val="003F7F8B"/>
    <w:rsid w:val="003F7FE9"/>
    <w:rsid w:val="0040020B"/>
    <w:rsid w:val="00400328"/>
    <w:rsid w:val="004003DF"/>
    <w:rsid w:val="00400A42"/>
    <w:rsid w:val="0040103F"/>
    <w:rsid w:val="004023CE"/>
    <w:rsid w:val="004031FE"/>
    <w:rsid w:val="004036BE"/>
    <w:rsid w:val="00403DF4"/>
    <w:rsid w:val="00403ED7"/>
    <w:rsid w:val="00404142"/>
    <w:rsid w:val="0040422F"/>
    <w:rsid w:val="0040487B"/>
    <w:rsid w:val="004056E0"/>
    <w:rsid w:val="00405866"/>
    <w:rsid w:val="00405A46"/>
    <w:rsid w:val="00405D70"/>
    <w:rsid w:val="00405F4D"/>
    <w:rsid w:val="0040603D"/>
    <w:rsid w:val="00406C11"/>
    <w:rsid w:val="00407296"/>
    <w:rsid w:val="0040758C"/>
    <w:rsid w:val="004102C7"/>
    <w:rsid w:val="0041078F"/>
    <w:rsid w:val="00410DAF"/>
    <w:rsid w:val="00410DFE"/>
    <w:rsid w:val="00411739"/>
    <w:rsid w:val="00411B2C"/>
    <w:rsid w:val="0041253E"/>
    <w:rsid w:val="00412A59"/>
    <w:rsid w:val="00412DE1"/>
    <w:rsid w:val="00412E7A"/>
    <w:rsid w:val="0041372F"/>
    <w:rsid w:val="0041379E"/>
    <w:rsid w:val="004138A0"/>
    <w:rsid w:val="004139AF"/>
    <w:rsid w:val="00415064"/>
    <w:rsid w:val="00415066"/>
    <w:rsid w:val="0041529F"/>
    <w:rsid w:val="004153B7"/>
    <w:rsid w:val="0041614C"/>
    <w:rsid w:val="004178E3"/>
    <w:rsid w:val="004201CA"/>
    <w:rsid w:val="00420502"/>
    <w:rsid w:val="00420B57"/>
    <w:rsid w:val="00420EA7"/>
    <w:rsid w:val="00420EED"/>
    <w:rsid w:val="00420F40"/>
    <w:rsid w:val="00421E86"/>
    <w:rsid w:val="00421F7B"/>
    <w:rsid w:val="00422EA9"/>
    <w:rsid w:val="004231FF"/>
    <w:rsid w:val="00423A38"/>
    <w:rsid w:val="00423E1B"/>
    <w:rsid w:val="00424257"/>
    <w:rsid w:val="004247FC"/>
    <w:rsid w:val="004249D8"/>
    <w:rsid w:val="00424CCA"/>
    <w:rsid w:val="00424E1E"/>
    <w:rsid w:val="004250F0"/>
    <w:rsid w:val="00425410"/>
    <w:rsid w:val="00425414"/>
    <w:rsid w:val="00425868"/>
    <w:rsid w:val="00425916"/>
    <w:rsid w:val="00425BAC"/>
    <w:rsid w:val="00425FD6"/>
    <w:rsid w:val="004262AC"/>
    <w:rsid w:val="00426B0D"/>
    <w:rsid w:val="00426E5C"/>
    <w:rsid w:val="0042735B"/>
    <w:rsid w:val="0042735F"/>
    <w:rsid w:val="0042763A"/>
    <w:rsid w:val="00430866"/>
    <w:rsid w:val="004309BE"/>
    <w:rsid w:val="00430E63"/>
    <w:rsid w:val="00430F52"/>
    <w:rsid w:val="00431EAE"/>
    <w:rsid w:val="00431F63"/>
    <w:rsid w:val="00432C5F"/>
    <w:rsid w:val="00432D2D"/>
    <w:rsid w:val="00432E0B"/>
    <w:rsid w:val="004349FB"/>
    <w:rsid w:val="00434E83"/>
    <w:rsid w:val="0043513F"/>
    <w:rsid w:val="00435273"/>
    <w:rsid w:val="00435FA0"/>
    <w:rsid w:val="004362D0"/>
    <w:rsid w:val="00436391"/>
    <w:rsid w:val="00436DF1"/>
    <w:rsid w:val="00436E43"/>
    <w:rsid w:val="00437D47"/>
    <w:rsid w:val="00437E1C"/>
    <w:rsid w:val="00440012"/>
    <w:rsid w:val="00440022"/>
    <w:rsid w:val="0044018B"/>
    <w:rsid w:val="0044027F"/>
    <w:rsid w:val="00440536"/>
    <w:rsid w:val="004407A7"/>
    <w:rsid w:val="00440D45"/>
    <w:rsid w:val="00440E05"/>
    <w:rsid w:val="00441708"/>
    <w:rsid w:val="00441746"/>
    <w:rsid w:val="00441B2A"/>
    <w:rsid w:val="00442038"/>
    <w:rsid w:val="00442830"/>
    <w:rsid w:val="00442F6C"/>
    <w:rsid w:val="004436EE"/>
    <w:rsid w:val="004440F7"/>
    <w:rsid w:val="004443B3"/>
    <w:rsid w:val="00444740"/>
    <w:rsid w:val="00444A23"/>
    <w:rsid w:val="004452A4"/>
    <w:rsid w:val="00445B6E"/>
    <w:rsid w:val="00445CED"/>
    <w:rsid w:val="00446C6C"/>
    <w:rsid w:val="00447249"/>
    <w:rsid w:val="00447E08"/>
    <w:rsid w:val="00450489"/>
    <w:rsid w:val="00450EB5"/>
    <w:rsid w:val="004512E6"/>
    <w:rsid w:val="00451762"/>
    <w:rsid w:val="00451CF8"/>
    <w:rsid w:val="00451D6B"/>
    <w:rsid w:val="0045201D"/>
    <w:rsid w:val="004523B2"/>
    <w:rsid w:val="004524C0"/>
    <w:rsid w:val="00452908"/>
    <w:rsid w:val="00452942"/>
    <w:rsid w:val="00452A35"/>
    <w:rsid w:val="00452E8E"/>
    <w:rsid w:val="00453610"/>
    <w:rsid w:val="004537DA"/>
    <w:rsid w:val="004538EB"/>
    <w:rsid w:val="00453AEC"/>
    <w:rsid w:val="00453E01"/>
    <w:rsid w:val="00453EC2"/>
    <w:rsid w:val="00453F66"/>
    <w:rsid w:val="0045431A"/>
    <w:rsid w:val="00454346"/>
    <w:rsid w:val="00454D3F"/>
    <w:rsid w:val="00454E80"/>
    <w:rsid w:val="00455846"/>
    <w:rsid w:val="004563C3"/>
    <w:rsid w:val="0045665A"/>
    <w:rsid w:val="00457107"/>
    <w:rsid w:val="00457189"/>
    <w:rsid w:val="00457CA1"/>
    <w:rsid w:val="0046056E"/>
    <w:rsid w:val="00460CBC"/>
    <w:rsid w:val="00461075"/>
    <w:rsid w:val="00461328"/>
    <w:rsid w:val="00461807"/>
    <w:rsid w:val="00461B34"/>
    <w:rsid w:val="00461BD5"/>
    <w:rsid w:val="00461C8F"/>
    <w:rsid w:val="00461F33"/>
    <w:rsid w:val="00462648"/>
    <w:rsid w:val="00462691"/>
    <w:rsid w:val="00462778"/>
    <w:rsid w:val="00462A3B"/>
    <w:rsid w:val="00462CD7"/>
    <w:rsid w:val="00462D39"/>
    <w:rsid w:val="00462F67"/>
    <w:rsid w:val="0046345B"/>
    <w:rsid w:val="00463862"/>
    <w:rsid w:val="00463BC9"/>
    <w:rsid w:val="0046402C"/>
    <w:rsid w:val="00464C5B"/>
    <w:rsid w:val="00464FAA"/>
    <w:rsid w:val="004652A3"/>
    <w:rsid w:val="004652BC"/>
    <w:rsid w:val="00465598"/>
    <w:rsid w:val="00465851"/>
    <w:rsid w:val="00466924"/>
    <w:rsid w:val="00466AAB"/>
    <w:rsid w:val="00467464"/>
    <w:rsid w:val="004676C2"/>
    <w:rsid w:val="004703F8"/>
    <w:rsid w:val="004705E8"/>
    <w:rsid w:val="0047078D"/>
    <w:rsid w:val="00470BE5"/>
    <w:rsid w:val="00470CC9"/>
    <w:rsid w:val="004712BE"/>
    <w:rsid w:val="00471595"/>
    <w:rsid w:val="00471726"/>
    <w:rsid w:val="00471932"/>
    <w:rsid w:val="004721E0"/>
    <w:rsid w:val="004723CA"/>
    <w:rsid w:val="004724C2"/>
    <w:rsid w:val="004724F3"/>
    <w:rsid w:val="004731C1"/>
    <w:rsid w:val="00473E42"/>
    <w:rsid w:val="004751CF"/>
    <w:rsid w:val="00475348"/>
    <w:rsid w:val="00476143"/>
    <w:rsid w:val="0047649D"/>
    <w:rsid w:val="0047689E"/>
    <w:rsid w:val="00476B75"/>
    <w:rsid w:val="00476C4D"/>
    <w:rsid w:val="00477639"/>
    <w:rsid w:val="004778B5"/>
    <w:rsid w:val="00477D3C"/>
    <w:rsid w:val="00477F42"/>
    <w:rsid w:val="00480382"/>
    <w:rsid w:val="00481529"/>
    <w:rsid w:val="0048188B"/>
    <w:rsid w:val="00481AD9"/>
    <w:rsid w:val="00481C8D"/>
    <w:rsid w:val="00481CCB"/>
    <w:rsid w:val="00481FAF"/>
    <w:rsid w:val="00482295"/>
    <w:rsid w:val="004822AB"/>
    <w:rsid w:val="00482782"/>
    <w:rsid w:val="004828DD"/>
    <w:rsid w:val="00482FFB"/>
    <w:rsid w:val="00483465"/>
    <w:rsid w:val="00484759"/>
    <w:rsid w:val="004847B9"/>
    <w:rsid w:val="00485D89"/>
    <w:rsid w:val="00486071"/>
    <w:rsid w:val="004861C7"/>
    <w:rsid w:val="00486354"/>
    <w:rsid w:val="004863F7"/>
    <w:rsid w:val="0048649B"/>
    <w:rsid w:val="00486574"/>
    <w:rsid w:val="00486B5F"/>
    <w:rsid w:val="00486F71"/>
    <w:rsid w:val="004871BB"/>
    <w:rsid w:val="004874BD"/>
    <w:rsid w:val="00487D99"/>
    <w:rsid w:val="00490C5A"/>
    <w:rsid w:val="00491601"/>
    <w:rsid w:val="004917F0"/>
    <w:rsid w:val="00492066"/>
    <w:rsid w:val="00492152"/>
    <w:rsid w:val="00492345"/>
    <w:rsid w:val="00492EC7"/>
    <w:rsid w:val="00493335"/>
    <w:rsid w:val="0049343C"/>
    <w:rsid w:val="0049424B"/>
    <w:rsid w:val="004947BF"/>
    <w:rsid w:val="00494918"/>
    <w:rsid w:val="00494C58"/>
    <w:rsid w:val="00494E06"/>
    <w:rsid w:val="00494ECE"/>
    <w:rsid w:val="004953EF"/>
    <w:rsid w:val="00495828"/>
    <w:rsid w:val="00496D8F"/>
    <w:rsid w:val="00496F9F"/>
    <w:rsid w:val="0049764B"/>
    <w:rsid w:val="00497719"/>
    <w:rsid w:val="0049771C"/>
    <w:rsid w:val="0049795C"/>
    <w:rsid w:val="00497BC6"/>
    <w:rsid w:val="004A01D9"/>
    <w:rsid w:val="004A046E"/>
    <w:rsid w:val="004A0596"/>
    <w:rsid w:val="004A0895"/>
    <w:rsid w:val="004A0A48"/>
    <w:rsid w:val="004A1873"/>
    <w:rsid w:val="004A19AE"/>
    <w:rsid w:val="004A19F3"/>
    <w:rsid w:val="004A2160"/>
    <w:rsid w:val="004A2667"/>
    <w:rsid w:val="004A3A90"/>
    <w:rsid w:val="004A3C7C"/>
    <w:rsid w:val="004A4205"/>
    <w:rsid w:val="004A4AFB"/>
    <w:rsid w:val="004A5760"/>
    <w:rsid w:val="004A5E79"/>
    <w:rsid w:val="004A623F"/>
    <w:rsid w:val="004A6989"/>
    <w:rsid w:val="004A6ACE"/>
    <w:rsid w:val="004A6EFB"/>
    <w:rsid w:val="004A7677"/>
    <w:rsid w:val="004A7898"/>
    <w:rsid w:val="004A7BD4"/>
    <w:rsid w:val="004B097E"/>
    <w:rsid w:val="004B0A35"/>
    <w:rsid w:val="004B0F7C"/>
    <w:rsid w:val="004B0FB7"/>
    <w:rsid w:val="004B138F"/>
    <w:rsid w:val="004B1709"/>
    <w:rsid w:val="004B1904"/>
    <w:rsid w:val="004B1DE3"/>
    <w:rsid w:val="004B206C"/>
    <w:rsid w:val="004B259F"/>
    <w:rsid w:val="004B28D1"/>
    <w:rsid w:val="004B2B09"/>
    <w:rsid w:val="004B3439"/>
    <w:rsid w:val="004B41DE"/>
    <w:rsid w:val="004B4A0B"/>
    <w:rsid w:val="004B4F8A"/>
    <w:rsid w:val="004B53DE"/>
    <w:rsid w:val="004B55D9"/>
    <w:rsid w:val="004B5C5B"/>
    <w:rsid w:val="004B5E60"/>
    <w:rsid w:val="004B62DC"/>
    <w:rsid w:val="004B677A"/>
    <w:rsid w:val="004B679F"/>
    <w:rsid w:val="004B67AB"/>
    <w:rsid w:val="004B73C3"/>
    <w:rsid w:val="004B7689"/>
    <w:rsid w:val="004B7FBD"/>
    <w:rsid w:val="004C0B7C"/>
    <w:rsid w:val="004C0DD0"/>
    <w:rsid w:val="004C114F"/>
    <w:rsid w:val="004C1575"/>
    <w:rsid w:val="004C1847"/>
    <w:rsid w:val="004C193E"/>
    <w:rsid w:val="004C1B3F"/>
    <w:rsid w:val="004C1E77"/>
    <w:rsid w:val="004C1F95"/>
    <w:rsid w:val="004C23FC"/>
    <w:rsid w:val="004C249C"/>
    <w:rsid w:val="004C25DC"/>
    <w:rsid w:val="004C2F5F"/>
    <w:rsid w:val="004C363F"/>
    <w:rsid w:val="004C3B2C"/>
    <w:rsid w:val="004C3F4C"/>
    <w:rsid w:val="004C4548"/>
    <w:rsid w:val="004C4A53"/>
    <w:rsid w:val="004C4DA4"/>
    <w:rsid w:val="004C4EE4"/>
    <w:rsid w:val="004C4FEF"/>
    <w:rsid w:val="004C5320"/>
    <w:rsid w:val="004C53C8"/>
    <w:rsid w:val="004C59D8"/>
    <w:rsid w:val="004C5D21"/>
    <w:rsid w:val="004C5F7D"/>
    <w:rsid w:val="004C6B21"/>
    <w:rsid w:val="004C70C3"/>
    <w:rsid w:val="004C7A04"/>
    <w:rsid w:val="004D00D2"/>
    <w:rsid w:val="004D0657"/>
    <w:rsid w:val="004D1127"/>
    <w:rsid w:val="004D1154"/>
    <w:rsid w:val="004D1DF4"/>
    <w:rsid w:val="004D27E9"/>
    <w:rsid w:val="004D2B73"/>
    <w:rsid w:val="004D2DD4"/>
    <w:rsid w:val="004D3F1D"/>
    <w:rsid w:val="004D4E97"/>
    <w:rsid w:val="004D5147"/>
    <w:rsid w:val="004D51B9"/>
    <w:rsid w:val="004D656D"/>
    <w:rsid w:val="004D6980"/>
    <w:rsid w:val="004D6DB6"/>
    <w:rsid w:val="004D6FDC"/>
    <w:rsid w:val="004D742B"/>
    <w:rsid w:val="004D7AB8"/>
    <w:rsid w:val="004E01DA"/>
    <w:rsid w:val="004E050D"/>
    <w:rsid w:val="004E079F"/>
    <w:rsid w:val="004E0AFF"/>
    <w:rsid w:val="004E1281"/>
    <w:rsid w:val="004E17BD"/>
    <w:rsid w:val="004E1CF8"/>
    <w:rsid w:val="004E1ED6"/>
    <w:rsid w:val="004E2D96"/>
    <w:rsid w:val="004E3B50"/>
    <w:rsid w:val="004E3D81"/>
    <w:rsid w:val="004E3E31"/>
    <w:rsid w:val="004E4E29"/>
    <w:rsid w:val="004E4E5B"/>
    <w:rsid w:val="004E52B4"/>
    <w:rsid w:val="004E5B31"/>
    <w:rsid w:val="004E5D42"/>
    <w:rsid w:val="004E5F35"/>
    <w:rsid w:val="004E6117"/>
    <w:rsid w:val="004E6520"/>
    <w:rsid w:val="004E666A"/>
    <w:rsid w:val="004E6F9D"/>
    <w:rsid w:val="004E7732"/>
    <w:rsid w:val="004F00B9"/>
    <w:rsid w:val="004F015D"/>
    <w:rsid w:val="004F0168"/>
    <w:rsid w:val="004F114C"/>
    <w:rsid w:val="004F18FE"/>
    <w:rsid w:val="004F1EFD"/>
    <w:rsid w:val="004F2A76"/>
    <w:rsid w:val="004F2C85"/>
    <w:rsid w:val="004F30F7"/>
    <w:rsid w:val="004F3A73"/>
    <w:rsid w:val="004F3AAD"/>
    <w:rsid w:val="004F3D37"/>
    <w:rsid w:val="004F3FA5"/>
    <w:rsid w:val="004F43B2"/>
    <w:rsid w:val="004F4543"/>
    <w:rsid w:val="004F45E5"/>
    <w:rsid w:val="004F4AC8"/>
    <w:rsid w:val="004F4FF6"/>
    <w:rsid w:val="004F5145"/>
    <w:rsid w:val="004F5415"/>
    <w:rsid w:val="004F543D"/>
    <w:rsid w:val="004F5682"/>
    <w:rsid w:val="004F5CB7"/>
    <w:rsid w:val="004F60C6"/>
    <w:rsid w:val="004F6150"/>
    <w:rsid w:val="004F6806"/>
    <w:rsid w:val="004F6B0D"/>
    <w:rsid w:val="004F6E3A"/>
    <w:rsid w:val="004F6F66"/>
    <w:rsid w:val="004F70DB"/>
    <w:rsid w:val="004F714D"/>
    <w:rsid w:val="004F7292"/>
    <w:rsid w:val="004F77C1"/>
    <w:rsid w:val="00500801"/>
    <w:rsid w:val="00500973"/>
    <w:rsid w:val="0050101B"/>
    <w:rsid w:val="005011CA"/>
    <w:rsid w:val="0050161F"/>
    <w:rsid w:val="00501FA7"/>
    <w:rsid w:val="005020B7"/>
    <w:rsid w:val="005026C4"/>
    <w:rsid w:val="00502C67"/>
    <w:rsid w:val="00503067"/>
    <w:rsid w:val="005031F0"/>
    <w:rsid w:val="005034B6"/>
    <w:rsid w:val="005034EA"/>
    <w:rsid w:val="00503782"/>
    <w:rsid w:val="00503A7C"/>
    <w:rsid w:val="00503B67"/>
    <w:rsid w:val="00503D9B"/>
    <w:rsid w:val="005042DD"/>
    <w:rsid w:val="00504D91"/>
    <w:rsid w:val="005055BA"/>
    <w:rsid w:val="00506038"/>
    <w:rsid w:val="0050617C"/>
    <w:rsid w:val="0050645A"/>
    <w:rsid w:val="005064A6"/>
    <w:rsid w:val="005067B7"/>
    <w:rsid w:val="005069CC"/>
    <w:rsid w:val="00506A40"/>
    <w:rsid w:val="00506ABB"/>
    <w:rsid w:val="00507230"/>
    <w:rsid w:val="0050736E"/>
    <w:rsid w:val="00507572"/>
    <w:rsid w:val="00507C96"/>
    <w:rsid w:val="00507D12"/>
    <w:rsid w:val="00507D75"/>
    <w:rsid w:val="0051071E"/>
    <w:rsid w:val="00510B41"/>
    <w:rsid w:val="00511776"/>
    <w:rsid w:val="00511950"/>
    <w:rsid w:val="005125B0"/>
    <w:rsid w:val="005126F6"/>
    <w:rsid w:val="0051290D"/>
    <w:rsid w:val="00512AB9"/>
    <w:rsid w:val="00513957"/>
    <w:rsid w:val="00513FFB"/>
    <w:rsid w:val="0051502C"/>
    <w:rsid w:val="00515696"/>
    <w:rsid w:val="00515ABD"/>
    <w:rsid w:val="00515B96"/>
    <w:rsid w:val="00515D08"/>
    <w:rsid w:val="005163AB"/>
    <w:rsid w:val="00516463"/>
    <w:rsid w:val="00516CBD"/>
    <w:rsid w:val="00516DCB"/>
    <w:rsid w:val="00517695"/>
    <w:rsid w:val="00517DD4"/>
    <w:rsid w:val="00520547"/>
    <w:rsid w:val="0052054B"/>
    <w:rsid w:val="0052064A"/>
    <w:rsid w:val="00520868"/>
    <w:rsid w:val="00521C7C"/>
    <w:rsid w:val="00521FA7"/>
    <w:rsid w:val="00522113"/>
    <w:rsid w:val="0052217E"/>
    <w:rsid w:val="0052311B"/>
    <w:rsid w:val="00523283"/>
    <w:rsid w:val="005233EE"/>
    <w:rsid w:val="0052370E"/>
    <w:rsid w:val="00523978"/>
    <w:rsid w:val="00523B4F"/>
    <w:rsid w:val="00523CCD"/>
    <w:rsid w:val="00523CEE"/>
    <w:rsid w:val="005249C5"/>
    <w:rsid w:val="00524F8D"/>
    <w:rsid w:val="0052557F"/>
    <w:rsid w:val="00525708"/>
    <w:rsid w:val="005258B9"/>
    <w:rsid w:val="005258CA"/>
    <w:rsid w:val="005262DF"/>
    <w:rsid w:val="00526F75"/>
    <w:rsid w:val="005271CE"/>
    <w:rsid w:val="005277C7"/>
    <w:rsid w:val="00527BAA"/>
    <w:rsid w:val="00527DCC"/>
    <w:rsid w:val="00530C3D"/>
    <w:rsid w:val="00530D12"/>
    <w:rsid w:val="00531277"/>
    <w:rsid w:val="0053141E"/>
    <w:rsid w:val="005317D8"/>
    <w:rsid w:val="00531C53"/>
    <w:rsid w:val="00531C70"/>
    <w:rsid w:val="00531F96"/>
    <w:rsid w:val="00532468"/>
    <w:rsid w:val="005324A4"/>
    <w:rsid w:val="0053274C"/>
    <w:rsid w:val="00532C1B"/>
    <w:rsid w:val="00532D35"/>
    <w:rsid w:val="005330A3"/>
    <w:rsid w:val="005335E6"/>
    <w:rsid w:val="00533D13"/>
    <w:rsid w:val="00534403"/>
    <w:rsid w:val="00534E05"/>
    <w:rsid w:val="00535F46"/>
    <w:rsid w:val="0053620C"/>
    <w:rsid w:val="00537091"/>
    <w:rsid w:val="00537355"/>
    <w:rsid w:val="005400C2"/>
    <w:rsid w:val="005400FF"/>
    <w:rsid w:val="00540359"/>
    <w:rsid w:val="00540820"/>
    <w:rsid w:val="005408D0"/>
    <w:rsid w:val="005410A6"/>
    <w:rsid w:val="005415A1"/>
    <w:rsid w:val="00541947"/>
    <w:rsid w:val="00541E2D"/>
    <w:rsid w:val="00541FAD"/>
    <w:rsid w:val="00542906"/>
    <w:rsid w:val="0054307D"/>
    <w:rsid w:val="0054430C"/>
    <w:rsid w:val="005447C6"/>
    <w:rsid w:val="00544D61"/>
    <w:rsid w:val="00545E7F"/>
    <w:rsid w:val="00546175"/>
    <w:rsid w:val="0054617A"/>
    <w:rsid w:val="005468BE"/>
    <w:rsid w:val="00546926"/>
    <w:rsid w:val="00546FE5"/>
    <w:rsid w:val="00547651"/>
    <w:rsid w:val="0055098E"/>
    <w:rsid w:val="00551C54"/>
    <w:rsid w:val="00551F85"/>
    <w:rsid w:val="00551FF2"/>
    <w:rsid w:val="005520FD"/>
    <w:rsid w:val="005528FF"/>
    <w:rsid w:val="00552CE3"/>
    <w:rsid w:val="00552F8C"/>
    <w:rsid w:val="00552F9D"/>
    <w:rsid w:val="005533A8"/>
    <w:rsid w:val="00554714"/>
    <w:rsid w:val="00554DE5"/>
    <w:rsid w:val="00554F7B"/>
    <w:rsid w:val="005561D9"/>
    <w:rsid w:val="005568CB"/>
    <w:rsid w:val="00556BCC"/>
    <w:rsid w:val="00557473"/>
    <w:rsid w:val="00557481"/>
    <w:rsid w:val="00560831"/>
    <w:rsid w:val="0056098B"/>
    <w:rsid w:val="00560C72"/>
    <w:rsid w:val="00560F5C"/>
    <w:rsid w:val="00561DEE"/>
    <w:rsid w:val="00562370"/>
    <w:rsid w:val="005623B1"/>
    <w:rsid w:val="0056276A"/>
    <w:rsid w:val="005629AE"/>
    <w:rsid w:val="00562A99"/>
    <w:rsid w:val="00562FCF"/>
    <w:rsid w:val="00562FE2"/>
    <w:rsid w:val="00563DC0"/>
    <w:rsid w:val="00564739"/>
    <w:rsid w:val="005649BF"/>
    <w:rsid w:val="00564AAF"/>
    <w:rsid w:val="00564CB5"/>
    <w:rsid w:val="00564D65"/>
    <w:rsid w:val="00564E2F"/>
    <w:rsid w:val="00564EE2"/>
    <w:rsid w:val="005650E6"/>
    <w:rsid w:val="005658BD"/>
    <w:rsid w:val="00565E70"/>
    <w:rsid w:val="005664FB"/>
    <w:rsid w:val="00566710"/>
    <w:rsid w:val="00566861"/>
    <w:rsid w:val="00566B61"/>
    <w:rsid w:val="00566F11"/>
    <w:rsid w:val="0056732F"/>
    <w:rsid w:val="005675BD"/>
    <w:rsid w:val="00567953"/>
    <w:rsid w:val="00570107"/>
    <w:rsid w:val="0057018F"/>
    <w:rsid w:val="005702E8"/>
    <w:rsid w:val="00570862"/>
    <w:rsid w:val="00570B0B"/>
    <w:rsid w:val="00571033"/>
    <w:rsid w:val="00571253"/>
    <w:rsid w:val="00571638"/>
    <w:rsid w:val="0057217A"/>
    <w:rsid w:val="0057281F"/>
    <w:rsid w:val="00572B11"/>
    <w:rsid w:val="0057304D"/>
    <w:rsid w:val="005730A5"/>
    <w:rsid w:val="0057318F"/>
    <w:rsid w:val="005732A7"/>
    <w:rsid w:val="005732F2"/>
    <w:rsid w:val="0057349C"/>
    <w:rsid w:val="005734ED"/>
    <w:rsid w:val="0057382C"/>
    <w:rsid w:val="00573E1E"/>
    <w:rsid w:val="00574056"/>
    <w:rsid w:val="005746AC"/>
    <w:rsid w:val="005746AD"/>
    <w:rsid w:val="00574DF0"/>
    <w:rsid w:val="0057524E"/>
    <w:rsid w:val="00575365"/>
    <w:rsid w:val="005754B8"/>
    <w:rsid w:val="005756BB"/>
    <w:rsid w:val="005756F7"/>
    <w:rsid w:val="005761F9"/>
    <w:rsid w:val="00576344"/>
    <w:rsid w:val="00576BBB"/>
    <w:rsid w:val="00576CB6"/>
    <w:rsid w:val="00576D1E"/>
    <w:rsid w:val="00576F75"/>
    <w:rsid w:val="0057710A"/>
    <w:rsid w:val="00577269"/>
    <w:rsid w:val="0057739C"/>
    <w:rsid w:val="00577511"/>
    <w:rsid w:val="005775CA"/>
    <w:rsid w:val="00580369"/>
    <w:rsid w:val="00580372"/>
    <w:rsid w:val="00580DA4"/>
    <w:rsid w:val="00580E5B"/>
    <w:rsid w:val="005812BB"/>
    <w:rsid w:val="005816A0"/>
    <w:rsid w:val="005818E1"/>
    <w:rsid w:val="00581952"/>
    <w:rsid w:val="0058234F"/>
    <w:rsid w:val="00582372"/>
    <w:rsid w:val="0058262D"/>
    <w:rsid w:val="00582951"/>
    <w:rsid w:val="0058298A"/>
    <w:rsid w:val="00582C2F"/>
    <w:rsid w:val="00582FED"/>
    <w:rsid w:val="0058360B"/>
    <w:rsid w:val="00583CAF"/>
    <w:rsid w:val="0058419F"/>
    <w:rsid w:val="00584275"/>
    <w:rsid w:val="005844AB"/>
    <w:rsid w:val="005845B0"/>
    <w:rsid w:val="00584D91"/>
    <w:rsid w:val="00584FE6"/>
    <w:rsid w:val="0058514C"/>
    <w:rsid w:val="00585168"/>
    <w:rsid w:val="00585744"/>
    <w:rsid w:val="005866BE"/>
    <w:rsid w:val="005867C7"/>
    <w:rsid w:val="005869A5"/>
    <w:rsid w:val="0058720D"/>
    <w:rsid w:val="00587581"/>
    <w:rsid w:val="005875B2"/>
    <w:rsid w:val="00587F67"/>
    <w:rsid w:val="0059022F"/>
    <w:rsid w:val="005904EC"/>
    <w:rsid w:val="00590B64"/>
    <w:rsid w:val="0059142A"/>
    <w:rsid w:val="005918B6"/>
    <w:rsid w:val="00592489"/>
    <w:rsid w:val="00592723"/>
    <w:rsid w:val="00592AB6"/>
    <w:rsid w:val="00593073"/>
    <w:rsid w:val="0059320B"/>
    <w:rsid w:val="0059330A"/>
    <w:rsid w:val="005939C0"/>
    <w:rsid w:val="005941FE"/>
    <w:rsid w:val="0059422A"/>
    <w:rsid w:val="00594AEA"/>
    <w:rsid w:val="005950DA"/>
    <w:rsid w:val="005958B3"/>
    <w:rsid w:val="00595BF8"/>
    <w:rsid w:val="00595EA6"/>
    <w:rsid w:val="0059637F"/>
    <w:rsid w:val="005964BF"/>
    <w:rsid w:val="00596986"/>
    <w:rsid w:val="00596C39"/>
    <w:rsid w:val="00596E00"/>
    <w:rsid w:val="00596EF5"/>
    <w:rsid w:val="00597028"/>
    <w:rsid w:val="00597341"/>
    <w:rsid w:val="00597BE6"/>
    <w:rsid w:val="00597D04"/>
    <w:rsid w:val="00597DCD"/>
    <w:rsid w:val="005A00A4"/>
    <w:rsid w:val="005A00FE"/>
    <w:rsid w:val="005A023F"/>
    <w:rsid w:val="005A244C"/>
    <w:rsid w:val="005A272B"/>
    <w:rsid w:val="005A35B2"/>
    <w:rsid w:val="005A3B5D"/>
    <w:rsid w:val="005A4168"/>
    <w:rsid w:val="005A4302"/>
    <w:rsid w:val="005A4351"/>
    <w:rsid w:val="005A48AB"/>
    <w:rsid w:val="005A4E4D"/>
    <w:rsid w:val="005A532E"/>
    <w:rsid w:val="005A5C67"/>
    <w:rsid w:val="005A610F"/>
    <w:rsid w:val="005A67D8"/>
    <w:rsid w:val="005A7060"/>
    <w:rsid w:val="005A7A94"/>
    <w:rsid w:val="005B0850"/>
    <w:rsid w:val="005B09C8"/>
    <w:rsid w:val="005B0A3E"/>
    <w:rsid w:val="005B0ACC"/>
    <w:rsid w:val="005B1771"/>
    <w:rsid w:val="005B20AA"/>
    <w:rsid w:val="005B2C13"/>
    <w:rsid w:val="005B2D0A"/>
    <w:rsid w:val="005B2DC8"/>
    <w:rsid w:val="005B31D0"/>
    <w:rsid w:val="005B3520"/>
    <w:rsid w:val="005B3746"/>
    <w:rsid w:val="005B39E0"/>
    <w:rsid w:val="005B429C"/>
    <w:rsid w:val="005B429D"/>
    <w:rsid w:val="005B42E4"/>
    <w:rsid w:val="005B4A74"/>
    <w:rsid w:val="005B5413"/>
    <w:rsid w:val="005B5510"/>
    <w:rsid w:val="005B576D"/>
    <w:rsid w:val="005B58B8"/>
    <w:rsid w:val="005B58FF"/>
    <w:rsid w:val="005B6280"/>
    <w:rsid w:val="005B6639"/>
    <w:rsid w:val="005B79FC"/>
    <w:rsid w:val="005B7A62"/>
    <w:rsid w:val="005B7E1A"/>
    <w:rsid w:val="005C0893"/>
    <w:rsid w:val="005C0B9C"/>
    <w:rsid w:val="005C168E"/>
    <w:rsid w:val="005C21AF"/>
    <w:rsid w:val="005C27AF"/>
    <w:rsid w:val="005C4659"/>
    <w:rsid w:val="005C4905"/>
    <w:rsid w:val="005C494C"/>
    <w:rsid w:val="005C4EEE"/>
    <w:rsid w:val="005C53D9"/>
    <w:rsid w:val="005C6248"/>
    <w:rsid w:val="005C6419"/>
    <w:rsid w:val="005C6510"/>
    <w:rsid w:val="005C69EB"/>
    <w:rsid w:val="005C6AA4"/>
    <w:rsid w:val="005C76A1"/>
    <w:rsid w:val="005C7A75"/>
    <w:rsid w:val="005D0712"/>
    <w:rsid w:val="005D0D3B"/>
    <w:rsid w:val="005D10A5"/>
    <w:rsid w:val="005D20FC"/>
    <w:rsid w:val="005D213A"/>
    <w:rsid w:val="005D299F"/>
    <w:rsid w:val="005D2CC7"/>
    <w:rsid w:val="005D2ED9"/>
    <w:rsid w:val="005D3583"/>
    <w:rsid w:val="005D3762"/>
    <w:rsid w:val="005D4526"/>
    <w:rsid w:val="005D4B39"/>
    <w:rsid w:val="005D4B87"/>
    <w:rsid w:val="005D4C18"/>
    <w:rsid w:val="005D4E1B"/>
    <w:rsid w:val="005D4FF2"/>
    <w:rsid w:val="005D57B0"/>
    <w:rsid w:val="005D5D4C"/>
    <w:rsid w:val="005D6750"/>
    <w:rsid w:val="005D67A6"/>
    <w:rsid w:val="005D752C"/>
    <w:rsid w:val="005D7F8A"/>
    <w:rsid w:val="005E034F"/>
    <w:rsid w:val="005E0719"/>
    <w:rsid w:val="005E0A88"/>
    <w:rsid w:val="005E0BE2"/>
    <w:rsid w:val="005E0FB9"/>
    <w:rsid w:val="005E13E3"/>
    <w:rsid w:val="005E166B"/>
    <w:rsid w:val="005E1C5A"/>
    <w:rsid w:val="005E279E"/>
    <w:rsid w:val="005E27B8"/>
    <w:rsid w:val="005E3134"/>
    <w:rsid w:val="005E38E6"/>
    <w:rsid w:val="005E4200"/>
    <w:rsid w:val="005E4F54"/>
    <w:rsid w:val="005E520D"/>
    <w:rsid w:val="005E53EE"/>
    <w:rsid w:val="005E557C"/>
    <w:rsid w:val="005E58E2"/>
    <w:rsid w:val="005E6A26"/>
    <w:rsid w:val="005E6C28"/>
    <w:rsid w:val="005E6F50"/>
    <w:rsid w:val="005E71A3"/>
    <w:rsid w:val="005E7EC1"/>
    <w:rsid w:val="005E7F59"/>
    <w:rsid w:val="005F03A2"/>
    <w:rsid w:val="005F0B1F"/>
    <w:rsid w:val="005F0D90"/>
    <w:rsid w:val="005F0E5D"/>
    <w:rsid w:val="005F145E"/>
    <w:rsid w:val="005F2337"/>
    <w:rsid w:val="005F325A"/>
    <w:rsid w:val="005F331D"/>
    <w:rsid w:val="005F36E1"/>
    <w:rsid w:val="005F3EC1"/>
    <w:rsid w:val="005F4243"/>
    <w:rsid w:val="005F4A23"/>
    <w:rsid w:val="005F52E5"/>
    <w:rsid w:val="005F6486"/>
    <w:rsid w:val="005F6976"/>
    <w:rsid w:val="005F69AC"/>
    <w:rsid w:val="005F6E41"/>
    <w:rsid w:val="005F741C"/>
    <w:rsid w:val="005F77CA"/>
    <w:rsid w:val="005F7A18"/>
    <w:rsid w:val="00600220"/>
    <w:rsid w:val="006005F1"/>
    <w:rsid w:val="006009A7"/>
    <w:rsid w:val="00600C8F"/>
    <w:rsid w:val="0060166B"/>
    <w:rsid w:val="00601860"/>
    <w:rsid w:val="00601AD9"/>
    <w:rsid w:val="00602160"/>
    <w:rsid w:val="00602428"/>
    <w:rsid w:val="00602DC8"/>
    <w:rsid w:val="0060307F"/>
    <w:rsid w:val="006037A1"/>
    <w:rsid w:val="006039B7"/>
    <w:rsid w:val="00603DED"/>
    <w:rsid w:val="0060458B"/>
    <w:rsid w:val="00604BC1"/>
    <w:rsid w:val="00605A27"/>
    <w:rsid w:val="00605A86"/>
    <w:rsid w:val="00605DE1"/>
    <w:rsid w:val="00605FA1"/>
    <w:rsid w:val="0060775A"/>
    <w:rsid w:val="006079EB"/>
    <w:rsid w:val="00607E47"/>
    <w:rsid w:val="00610188"/>
    <w:rsid w:val="0061025D"/>
    <w:rsid w:val="00611D64"/>
    <w:rsid w:val="00611E8F"/>
    <w:rsid w:val="00612695"/>
    <w:rsid w:val="006127DD"/>
    <w:rsid w:val="006129C6"/>
    <w:rsid w:val="00612A2E"/>
    <w:rsid w:val="00613F04"/>
    <w:rsid w:val="00614C02"/>
    <w:rsid w:val="00614DE0"/>
    <w:rsid w:val="00614F9C"/>
    <w:rsid w:val="006154A3"/>
    <w:rsid w:val="00615535"/>
    <w:rsid w:val="00615BF2"/>
    <w:rsid w:val="00615D15"/>
    <w:rsid w:val="00616B94"/>
    <w:rsid w:val="00616C37"/>
    <w:rsid w:val="00617760"/>
    <w:rsid w:val="00617975"/>
    <w:rsid w:val="0062047C"/>
    <w:rsid w:val="006206B5"/>
    <w:rsid w:val="00620F12"/>
    <w:rsid w:val="00620F77"/>
    <w:rsid w:val="00621027"/>
    <w:rsid w:val="006210BF"/>
    <w:rsid w:val="006210FE"/>
    <w:rsid w:val="0062113A"/>
    <w:rsid w:val="006212C0"/>
    <w:rsid w:val="0062142C"/>
    <w:rsid w:val="0062144D"/>
    <w:rsid w:val="00621D1C"/>
    <w:rsid w:val="00621D41"/>
    <w:rsid w:val="00621DCA"/>
    <w:rsid w:val="00621EAA"/>
    <w:rsid w:val="00622572"/>
    <w:rsid w:val="00622781"/>
    <w:rsid w:val="00622BA3"/>
    <w:rsid w:val="00623A1E"/>
    <w:rsid w:val="00623F0E"/>
    <w:rsid w:val="00623F48"/>
    <w:rsid w:val="0062404C"/>
    <w:rsid w:val="006243CC"/>
    <w:rsid w:val="00624497"/>
    <w:rsid w:val="00624522"/>
    <w:rsid w:val="00624AE4"/>
    <w:rsid w:val="00624CAF"/>
    <w:rsid w:val="00624D50"/>
    <w:rsid w:val="006255C6"/>
    <w:rsid w:val="00625DD3"/>
    <w:rsid w:val="00625F85"/>
    <w:rsid w:val="006263BE"/>
    <w:rsid w:val="006268DD"/>
    <w:rsid w:val="00627394"/>
    <w:rsid w:val="006278A9"/>
    <w:rsid w:val="006279BE"/>
    <w:rsid w:val="006279EE"/>
    <w:rsid w:val="00627A72"/>
    <w:rsid w:val="006304FA"/>
    <w:rsid w:val="0063092B"/>
    <w:rsid w:val="00630FC2"/>
    <w:rsid w:val="006320CA"/>
    <w:rsid w:val="00632747"/>
    <w:rsid w:val="00632D08"/>
    <w:rsid w:val="00632D37"/>
    <w:rsid w:val="00632EC4"/>
    <w:rsid w:val="00633041"/>
    <w:rsid w:val="00633B27"/>
    <w:rsid w:val="006340BA"/>
    <w:rsid w:val="006346EF"/>
    <w:rsid w:val="00634759"/>
    <w:rsid w:val="00635236"/>
    <w:rsid w:val="0063636B"/>
    <w:rsid w:val="00637061"/>
    <w:rsid w:val="006401A7"/>
    <w:rsid w:val="00640328"/>
    <w:rsid w:val="006404FA"/>
    <w:rsid w:val="0064090A"/>
    <w:rsid w:val="00640B72"/>
    <w:rsid w:val="0064147A"/>
    <w:rsid w:val="00642757"/>
    <w:rsid w:val="00642D79"/>
    <w:rsid w:val="00643D0E"/>
    <w:rsid w:val="00643D9D"/>
    <w:rsid w:val="00643F84"/>
    <w:rsid w:val="006446CA"/>
    <w:rsid w:val="006447BE"/>
    <w:rsid w:val="006448BF"/>
    <w:rsid w:val="00644D2D"/>
    <w:rsid w:val="00644E2C"/>
    <w:rsid w:val="00644F35"/>
    <w:rsid w:val="006450F1"/>
    <w:rsid w:val="006456E9"/>
    <w:rsid w:val="00645C30"/>
    <w:rsid w:val="00645E86"/>
    <w:rsid w:val="006460A7"/>
    <w:rsid w:val="00646286"/>
    <w:rsid w:val="006464B8"/>
    <w:rsid w:val="00646638"/>
    <w:rsid w:val="006475A0"/>
    <w:rsid w:val="006476D0"/>
    <w:rsid w:val="0064774A"/>
    <w:rsid w:val="006477C2"/>
    <w:rsid w:val="00647D89"/>
    <w:rsid w:val="006503F7"/>
    <w:rsid w:val="0065043B"/>
    <w:rsid w:val="00650AB9"/>
    <w:rsid w:val="00651093"/>
    <w:rsid w:val="006512E7"/>
    <w:rsid w:val="00651521"/>
    <w:rsid w:val="0065188E"/>
    <w:rsid w:val="00651A1B"/>
    <w:rsid w:val="00651AF2"/>
    <w:rsid w:val="00652710"/>
    <w:rsid w:val="00652A02"/>
    <w:rsid w:val="00652E80"/>
    <w:rsid w:val="00652EE5"/>
    <w:rsid w:val="00652EF4"/>
    <w:rsid w:val="0065342E"/>
    <w:rsid w:val="006536A9"/>
    <w:rsid w:val="00653719"/>
    <w:rsid w:val="00653747"/>
    <w:rsid w:val="00653B36"/>
    <w:rsid w:val="00653CBC"/>
    <w:rsid w:val="00653E07"/>
    <w:rsid w:val="00654202"/>
    <w:rsid w:val="00654983"/>
    <w:rsid w:val="006549C2"/>
    <w:rsid w:val="00654F3E"/>
    <w:rsid w:val="00655315"/>
    <w:rsid w:val="00655748"/>
    <w:rsid w:val="00655863"/>
    <w:rsid w:val="00655937"/>
    <w:rsid w:val="006559CA"/>
    <w:rsid w:val="00655D12"/>
    <w:rsid w:val="0065645C"/>
    <w:rsid w:val="0065750F"/>
    <w:rsid w:val="006575F1"/>
    <w:rsid w:val="006579D7"/>
    <w:rsid w:val="00657B57"/>
    <w:rsid w:val="00660423"/>
    <w:rsid w:val="0066090B"/>
    <w:rsid w:val="006609A5"/>
    <w:rsid w:val="00661145"/>
    <w:rsid w:val="006617E6"/>
    <w:rsid w:val="00661AEB"/>
    <w:rsid w:val="00661BB5"/>
    <w:rsid w:val="00662D5F"/>
    <w:rsid w:val="00663598"/>
    <w:rsid w:val="00663947"/>
    <w:rsid w:val="00664B68"/>
    <w:rsid w:val="00664C82"/>
    <w:rsid w:val="00665030"/>
    <w:rsid w:val="006650E3"/>
    <w:rsid w:val="006658C6"/>
    <w:rsid w:val="00665A2A"/>
    <w:rsid w:val="00665B2C"/>
    <w:rsid w:val="00666C5A"/>
    <w:rsid w:val="00666D51"/>
    <w:rsid w:val="00666F2D"/>
    <w:rsid w:val="006674C7"/>
    <w:rsid w:val="00667657"/>
    <w:rsid w:val="00667D66"/>
    <w:rsid w:val="00670387"/>
    <w:rsid w:val="00671039"/>
    <w:rsid w:val="006711A0"/>
    <w:rsid w:val="006713B9"/>
    <w:rsid w:val="006715A6"/>
    <w:rsid w:val="006722DC"/>
    <w:rsid w:val="0067230E"/>
    <w:rsid w:val="006724A2"/>
    <w:rsid w:val="00672758"/>
    <w:rsid w:val="006729B0"/>
    <w:rsid w:val="00672F30"/>
    <w:rsid w:val="00672F77"/>
    <w:rsid w:val="006731AC"/>
    <w:rsid w:val="00673668"/>
    <w:rsid w:val="0067389A"/>
    <w:rsid w:val="00673A21"/>
    <w:rsid w:val="00673DA8"/>
    <w:rsid w:val="00673DC0"/>
    <w:rsid w:val="00674284"/>
    <w:rsid w:val="006750DA"/>
    <w:rsid w:val="00675275"/>
    <w:rsid w:val="00675330"/>
    <w:rsid w:val="006756CC"/>
    <w:rsid w:val="00675807"/>
    <w:rsid w:val="006758D9"/>
    <w:rsid w:val="006759D3"/>
    <w:rsid w:val="00675EE4"/>
    <w:rsid w:val="00676518"/>
    <w:rsid w:val="00676A24"/>
    <w:rsid w:val="0067701E"/>
    <w:rsid w:val="00677EA9"/>
    <w:rsid w:val="0068066C"/>
    <w:rsid w:val="00681C81"/>
    <w:rsid w:val="006821D5"/>
    <w:rsid w:val="0068266B"/>
    <w:rsid w:val="006826D9"/>
    <w:rsid w:val="00683BE9"/>
    <w:rsid w:val="006843D0"/>
    <w:rsid w:val="006847DF"/>
    <w:rsid w:val="00684DB8"/>
    <w:rsid w:val="006850DA"/>
    <w:rsid w:val="006853A9"/>
    <w:rsid w:val="00686010"/>
    <w:rsid w:val="0068629A"/>
    <w:rsid w:val="0068659C"/>
    <w:rsid w:val="00686703"/>
    <w:rsid w:val="00686F5E"/>
    <w:rsid w:val="0068750E"/>
    <w:rsid w:val="0068780F"/>
    <w:rsid w:val="00687925"/>
    <w:rsid w:val="00687FDF"/>
    <w:rsid w:val="006901A0"/>
    <w:rsid w:val="006905CE"/>
    <w:rsid w:val="006908BA"/>
    <w:rsid w:val="00690E81"/>
    <w:rsid w:val="00691732"/>
    <w:rsid w:val="00691778"/>
    <w:rsid w:val="00691A70"/>
    <w:rsid w:val="00691F5C"/>
    <w:rsid w:val="0069243A"/>
    <w:rsid w:val="00692563"/>
    <w:rsid w:val="00693468"/>
    <w:rsid w:val="00693E67"/>
    <w:rsid w:val="00694AFA"/>
    <w:rsid w:val="00694C5D"/>
    <w:rsid w:val="00694D1C"/>
    <w:rsid w:val="00695150"/>
    <w:rsid w:val="00695749"/>
    <w:rsid w:val="0069658C"/>
    <w:rsid w:val="006978B9"/>
    <w:rsid w:val="00697E7D"/>
    <w:rsid w:val="006A1497"/>
    <w:rsid w:val="006A16AD"/>
    <w:rsid w:val="006A19C0"/>
    <w:rsid w:val="006A1C73"/>
    <w:rsid w:val="006A1D48"/>
    <w:rsid w:val="006A23A7"/>
    <w:rsid w:val="006A2431"/>
    <w:rsid w:val="006A24AD"/>
    <w:rsid w:val="006A2591"/>
    <w:rsid w:val="006A2AA6"/>
    <w:rsid w:val="006A2E05"/>
    <w:rsid w:val="006A3737"/>
    <w:rsid w:val="006A3B62"/>
    <w:rsid w:val="006A4610"/>
    <w:rsid w:val="006A5041"/>
    <w:rsid w:val="006A5223"/>
    <w:rsid w:val="006A5752"/>
    <w:rsid w:val="006A57C0"/>
    <w:rsid w:val="006A597F"/>
    <w:rsid w:val="006A5A55"/>
    <w:rsid w:val="006A71FD"/>
    <w:rsid w:val="006A771F"/>
    <w:rsid w:val="006A77DE"/>
    <w:rsid w:val="006A7BB2"/>
    <w:rsid w:val="006A7EE6"/>
    <w:rsid w:val="006A7F4D"/>
    <w:rsid w:val="006B00E8"/>
    <w:rsid w:val="006B0373"/>
    <w:rsid w:val="006B067E"/>
    <w:rsid w:val="006B0B91"/>
    <w:rsid w:val="006B1228"/>
    <w:rsid w:val="006B1D2C"/>
    <w:rsid w:val="006B29D7"/>
    <w:rsid w:val="006B2C23"/>
    <w:rsid w:val="006B3043"/>
    <w:rsid w:val="006B335C"/>
    <w:rsid w:val="006B3723"/>
    <w:rsid w:val="006B4587"/>
    <w:rsid w:val="006B47CC"/>
    <w:rsid w:val="006B47F9"/>
    <w:rsid w:val="006B4A43"/>
    <w:rsid w:val="006B54F6"/>
    <w:rsid w:val="006B58E0"/>
    <w:rsid w:val="006B6C22"/>
    <w:rsid w:val="006B7F7E"/>
    <w:rsid w:val="006C0ACD"/>
    <w:rsid w:val="006C0BB9"/>
    <w:rsid w:val="006C0C60"/>
    <w:rsid w:val="006C0D31"/>
    <w:rsid w:val="006C1061"/>
    <w:rsid w:val="006C179C"/>
    <w:rsid w:val="006C19D5"/>
    <w:rsid w:val="006C1C6C"/>
    <w:rsid w:val="006C1E4A"/>
    <w:rsid w:val="006C1FEE"/>
    <w:rsid w:val="006C218F"/>
    <w:rsid w:val="006C292D"/>
    <w:rsid w:val="006C2C68"/>
    <w:rsid w:val="006C3484"/>
    <w:rsid w:val="006C362A"/>
    <w:rsid w:val="006C377C"/>
    <w:rsid w:val="006C3991"/>
    <w:rsid w:val="006C3B9C"/>
    <w:rsid w:val="006C3EA9"/>
    <w:rsid w:val="006C40D3"/>
    <w:rsid w:val="006C466B"/>
    <w:rsid w:val="006C5B31"/>
    <w:rsid w:val="006C5FB2"/>
    <w:rsid w:val="006C652E"/>
    <w:rsid w:val="006C66F5"/>
    <w:rsid w:val="006C73F2"/>
    <w:rsid w:val="006C7661"/>
    <w:rsid w:val="006C7B36"/>
    <w:rsid w:val="006D09C5"/>
    <w:rsid w:val="006D117A"/>
    <w:rsid w:val="006D158B"/>
    <w:rsid w:val="006D162E"/>
    <w:rsid w:val="006D1684"/>
    <w:rsid w:val="006D1B4C"/>
    <w:rsid w:val="006D239F"/>
    <w:rsid w:val="006D23EE"/>
    <w:rsid w:val="006D2B63"/>
    <w:rsid w:val="006D2DFE"/>
    <w:rsid w:val="006D3894"/>
    <w:rsid w:val="006D3A2F"/>
    <w:rsid w:val="006D3A52"/>
    <w:rsid w:val="006D4E1F"/>
    <w:rsid w:val="006D4E8A"/>
    <w:rsid w:val="006D4FC4"/>
    <w:rsid w:val="006D5249"/>
    <w:rsid w:val="006D5456"/>
    <w:rsid w:val="006D62E0"/>
    <w:rsid w:val="006D68E9"/>
    <w:rsid w:val="006D68EB"/>
    <w:rsid w:val="006D6BF9"/>
    <w:rsid w:val="006D6D24"/>
    <w:rsid w:val="006D6EDD"/>
    <w:rsid w:val="006D7746"/>
    <w:rsid w:val="006D79B8"/>
    <w:rsid w:val="006E00F3"/>
    <w:rsid w:val="006E0EE0"/>
    <w:rsid w:val="006E142F"/>
    <w:rsid w:val="006E192E"/>
    <w:rsid w:val="006E1CD0"/>
    <w:rsid w:val="006E1DF8"/>
    <w:rsid w:val="006E21C8"/>
    <w:rsid w:val="006E23A0"/>
    <w:rsid w:val="006E248A"/>
    <w:rsid w:val="006E250A"/>
    <w:rsid w:val="006E2E01"/>
    <w:rsid w:val="006E3462"/>
    <w:rsid w:val="006E3ABA"/>
    <w:rsid w:val="006E3F36"/>
    <w:rsid w:val="006E5488"/>
    <w:rsid w:val="006E5585"/>
    <w:rsid w:val="006E580B"/>
    <w:rsid w:val="006E5A03"/>
    <w:rsid w:val="006E5E0F"/>
    <w:rsid w:val="006E6557"/>
    <w:rsid w:val="006E678B"/>
    <w:rsid w:val="006E6C7C"/>
    <w:rsid w:val="006E6D0F"/>
    <w:rsid w:val="006E6DCC"/>
    <w:rsid w:val="006E6DE8"/>
    <w:rsid w:val="006F0179"/>
    <w:rsid w:val="006F021D"/>
    <w:rsid w:val="006F06DF"/>
    <w:rsid w:val="006F0BFF"/>
    <w:rsid w:val="006F0C2B"/>
    <w:rsid w:val="006F163C"/>
    <w:rsid w:val="006F1C90"/>
    <w:rsid w:val="006F1D11"/>
    <w:rsid w:val="006F1EA3"/>
    <w:rsid w:val="006F2656"/>
    <w:rsid w:val="006F2692"/>
    <w:rsid w:val="006F2E94"/>
    <w:rsid w:val="006F3B74"/>
    <w:rsid w:val="006F48C0"/>
    <w:rsid w:val="006F4F50"/>
    <w:rsid w:val="006F5234"/>
    <w:rsid w:val="006F5804"/>
    <w:rsid w:val="006F701D"/>
    <w:rsid w:val="006F7135"/>
    <w:rsid w:val="006F76D6"/>
    <w:rsid w:val="006F78EA"/>
    <w:rsid w:val="00700095"/>
    <w:rsid w:val="007001E9"/>
    <w:rsid w:val="007002D8"/>
    <w:rsid w:val="007011FB"/>
    <w:rsid w:val="007012A2"/>
    <w:rsid w:val="00701329"/>
    <w:rsid w:val="00701B37"/>
    <w:rsid w:val="0070271C"/>
    <w:rsid w:val="00702B11"/>
    <w:rsid w:val="00703318"/>
    <w:rsid w:val="007035EA"/>
    <w:rsid w:val="007039AA"/>
    <w:rsid w:val="00703DBD"/>
    <w:rsid w:val="007045C1"/>
    <w:rsid w:val="007045EF"/>
    <w:rsid w:val="00704EA7"/>
    <w:rsid w:val="007050C3"/>
    <w:rsid w:val="007054EB"/>
    <w:rsid w:val="00705957"/>
    <w:rsid w:val="00705AF9"/>
    <w:rsid w:val="00705D7D"/>
    <w:rsid w:val="00705EFD"/>
    <w:rsid w:val="007061BB"/>
    <w:rsid w:val="00706A35"/>
    <w:rsid w:val="00706ADA"/>
    <w:rsid w:val="00706E8F"/>
    <w:rsid w:val="0070766A"/>
    <w:rsid w:val="00707C68"/>
    <w:rsid w:val="00707C9E"/>
    <w:rsid w:val="00710035"/>
    <w:rsid w:val="0071040C"/>
    <w:rsid w:val="007105E2"/>
    <w:rsid w:val="00710A73"/>
    <w:rsid w:val="00710D29"/>
    <w:rsid w:val="0071106E"/>
    <w:rsid w:val="00711085"/>
    <w:rsid w:val="0071162C"/>
    <w:rsid w:val="00711B40"/>
    <w:rsid w:val="00711D67"/>
    <w:rsid w:val="00711EA5"/>
    <w:rsid w:val="007120B4"/>
    <w:rsid w:val="007123BA"/>
    <w:rsid w:val="0071291C"/>
    <w:rsid w:val="007135D0"/>
    <w:rsid w:val="007141DC"/>
    <w:rsid w:val="0071534E"/>
    <w:rsid w:val="00715747"/>
    <w:rsid w:val="00715CFC"/>
    <w:rsid w:val="00716F87"/>
    <w:rsid w:val="00717280"/>
    <w:rsid w:val="007200F6"/>
    <w:rsid w:val="007202A0"/>
    <w:rsid w:val="007204CB"/>
    <w:rsid w:val="00720701"/>
    <w:rsid w:val="00720AB7"/>
    <w:rsid w:val="0072135E"/>
    <w:rsid w:val="00721458"/>
    <w:rsid w:val="00721641"/>
    <w:rsid w:val="00722009"/>
    <w:rsid w:val="007224A8"/>
    <w:rsid w:val="00722C34"/>
    <w:rsid w:val="00723493"/>
    <w:rsid w:val="0072352E"/>
    <w:rsid w:val="00723805"/>
    <w:rsid w:val="007239C2"/>
    <w:rsid w:val="00723A83"/>
    <w:rsid w:val="00723BC4"/>
    <w:rsid w:val="007241C7"/>
    <w:rsid w:val="007249DD"/>
    <w:rsid w:val="0072550C"/>
    <w:rsid w:val="0072678D"/>
    <w:rsid w:val="007268AE"/>
    <w:rsid w:val="007268E8"/>
    <w:rsid w:val="00726DD4"/>
    <w:rsid w:val="00726E88"/>
    <w:rsid w:val="0072793D"/>
    <w:rsid w:val="00730077"/>
    <w:rsid w:val="007303DE"/>
    <w:rsid w:val="00730957"/>
    <w:rsid w:val="00730AF0"/>
    <w:rsid w:val="00730FFC"/>
    <w:rsid w:val="0073157D"/>
    <w:rsid w:val="00731CC6"/>
    <w:rsid w:val="00731EDD"/>
    <w:rsid w:val="00731F68"/>
    <w:rsid w:val="007327A6"/>
    <w:rsid w:val="007328B5"/>
    <w:rsid w:val="00732C43"/>
    <w:rsid w:val="00732FC2"/>
    <w:rsid w:val="00732FF2"/>
    <w:rsid w:val="00733196"/>
    <w:rsid w:val="007336FD"/>
    <w:rsid w:val="00734621"/>
    <w:rsid w:val="007347D4"/>
    <w:rsid w:val="0073486F"/>
    <w:rsid w:val="007349A8"/>
    <w:rsid w:val="007353BD"/>
    <w:rsid w:val="007354CA"/>
    <w:rsid w:val="0073553C"/>
    <w:rsid w:val="007359FD"/>
    <w:rsid w:val="00735ADD"/>
    <w:rsid w:val="007363AC"/>
    <w:rsid w:val="0073699A"/>
    <w:rsid w:val="0073720F"/>
    <w:rsid w:val="007378A4"/>
    <w:rsid w:val="00737ABA"/>
    <w:rsid w:val="00737BA6"/>
    <w:rsid w:val="00741627"/>
    <w:rsid w:val="0074173D"/>
    <w:rsid w:val="00741D89"/>
    <w:rsid w:val="00741FD0"/>
    <w:rsid w:val="007420D1"/>
    <w:rsid w:val="00742105"/>
    <w:rsid w:val="007427EC"/>
    <w:rsid w:val="00742F09"/>
    <w:rsid w:val="00743084"/>
    <w:rsid w:val="007439DD"/>
    <w:rsid w:val="00743AE8"/>
    <w:rsid w:val="00744D2F"/>
    <w:rsid w:val="00744D55"/>
    <w:rsid w:val="00744F60"/>
    <w:rsid w:val="007454AE"/>
    <w:rsid w:val="00745E98"/>
    <w:rsid w:val="00746335"/>
    <w:rsid w:val="00746587"/>
    <w:rsid w:val="00746A2F"/>
    <w:rsid w:val="0075091C"/>
    <w:rsid w:val="00750F52"/>
    <w:rsid w:val="00750FCA"/>
    <w:rsid w:val="00751BC1"/>
    <w:rsid w:val="00751CB4"/>
    <w:rsid w:val="00751E0A"/>
    <w:rsid w:val="00751ECF"/>
    <w:rsid w:val="0075208B"/>
    <w:rsid w:val="00752938"/>
    <w:rsid w:val="00752A24"/>
    <w:rsid w:val="00752C12"/>
    <w:rsid w:val="007542BF"/>
    <w:rsid w:val="0075456D"/>
    <w:rsid w:val="00754CF3"/>
    <w:rsid w:val="00754EE6"/>
    <w:rsid w:val="007550B9"/>
    <w:rsid w:val="00755291"/>
    <w:rsid w:val="00755809"/>
    <w:rsid w:val="00756812"/>
    <w:rsid w:val="007572D3"/>
    <w:rsid w:val="007575BF"/>
    <w:rsid w:val="007575C3"/>
    <w:rsid w:val="00757664"/>
    <w:rsid w:val="007577B4"/>
    <w:rsid w:val="007609EB"/>
    <w:rsid w:val="007615A9"/>
    <w:rsid w:val="00761735"/>
    <w:rsid w:val="0076294B"/>
    <w:rsid w:val="00762B50"/>
    <w:rsid w:val="0076347F"/>
    <w:rsid w:val="007634BC"/>
    <w:rsid w:val="007636F9"/>
    <w:rsid w:val="00763C58"/>
    <w:rsid w:val="00763D8D"/>
    <w:rsid w:val="00763D93"/>
    <w:rsid w:val="0076410E"/>
    <w:rsid w:val="00764833"/>
    <w:rsid w:val="0076486F"/>
    <w:rsid w:val="00764D0E"/>
    <w:rsid w:val="007652EB"/>
    <w:rsid w:val="0076533F"/>
    <w:rsid w:val="00765DFC"/>
    <w:rsid w:val="00766457"/>
    <w:rsid w:val="007666BF"/>
    <w:rsid w:val="007668F3"/>
    <w:rsid w:val="00766AE2"/>
    <w:rsid w:val="0076716C"/>
    <w:rsid w:val="0077016D"/>
    <w:rsid w:val="00770488"/>
    <w:rsid w:val="00770E0A"/>
    <w:rsid w:val="00771637"/>
    <w:rsid w:val="00772705"/>
    <w:rsid w:val="0077273D"/>
    <w:rsid w:val="00772772"/>
    <w:rsid w:val="007728FC"/>
    <w:rsid w:val="00772A95"/>
    <w:rsid w:val="0077437E"/>
    <w:rsid w:val="00774A00"/>
    <w:rsid w:val="00774CC1"/>
    <w:rsid w:val="00775319"/>
    <w:rsid w:val="007753C7"/>
    <w:rsid w:val="007756ED"/>
    <w:rsid w:val="00775740"/>
    <w:rsid w:val="007758D9"/>
    <w:rsid w:val="00775A2E"/>
    <w:rsid w:val="00775C4E"/>
    <w:rsid w:val="00775DA0"/>
    <w:rsid w:val="00775DB4"/>
    <w:rsid w:val="00776937"/>
    <w:rsid w:val="00776ADB"/>
    <w:rsid w:val="00776D53"/>
    <w:rsid w:val="007773DF"/>
    <w:rsid w:val="00777ECB"/>
    <w:rsid w:val="00780565"/>
    <w:rsid w:val="00781EA4"/>
    <w:rsid w:val="00781F3C"/>
    <w:rsid w:val="007824CF"/>
    <w:rsid w:val="00782559"/>
    <w:rsid w:val="00782B45"/>
    <w:rsid w:val="00782C3F"/>
    <w:rsid w:val="007838EA"/>
    <w:rsid w:val="00783AEA"/>
    <w:rsid w:val="00783FA4"/>
    <w:rsid w:val="007841AA"/>
    <w:rsid w:val="007842A5"/>
    <w:rsid w:val="00784661"/>
    <w:rsid w:val="007851AB"/>
    <w:rsid w:val="0078572F"/>
    <w:rsid w:val="00785D0A"/>
    <w:rsid w:val="00785DAE"/>
    <w:rsid w:val="00786030"/>
    <w:rsid w:val="00786D10"/>
    <w:rsid w:val="007875F9"/>
    <w:rsid w:val="00787D14"/>
    <w:rsid w:val="00787E42"/>
    <w:rsid w:val="0079018C"/>
    <w:rsid w:val="00790642"/>
    <w:rsid w:val="0079091F"/>
    <w:rsid w:val="00790AD7"/>
    <w:rsid w:val="00791BA1"/>
    <w:rsid w:val="00791F33"/>
    <w:rsid w:val="0079229F"/>
    <w:rsid w:val="00792439"/>
    <w:rsid w:val="00792550"/>
    <w:rsid w:val="00792671"/>
    <w:rsid w:val="007928F1"/>
    <w:rsid w:val="00792E9C"/>
    <w:rsid w:val="00794189"/>
    <w:rsid w:val="00795109"/>
    <w:rsid w:val="00795B42"/>
    <w:rsid w:val="00796345"/>
    <w:rsid w:val="00796F27"/>
    <w:rsid w:val="0079726B"/>
    <w:rsid w:val="0079730C"/>
    <w:rsid w:val="0079737E"/>
    <w:rsid w:val="0079773E"/>
    <w:rsid w:val="00797D7C"/>
    <w:rsid w:val="00797EDB"/>
    <w:rsid w:val="007A07EE"/>
    <w:rsid w:val="007A0A4A"/>
    <w:rsid w:val="007A0B6C"/>
    <w:rsid w:val="007A0F1A"/>
    <w:rsid w:val="007A0FA2"/>
    <w:rsid w:val="007A1547"/>
    <w:rsid w:val="007A185A"/>
    <w:rsid w:val="007A1951"/>
    <w:rsid w:val="007A2B57"/>
    <w:rsid w:val="007A2B5C"/>
    <w:rsid w:val="007A2BA5"/>
    <w:rsid w:val="007A2C4D"/>
    <w:rsid w:val="007A2CF3"/>
    <w:rsid w:val="007A2F15"/>
    <w:rsid w:val="007A380E"/>
    <w:rsid w:val="007A3EC9"/>
    <w:rsid w:val="007A49A2"/>
    <w:rsid w:val="007A4E61"/>
    <w:rsid w:val="007A5069"/>
    <w:rsid w:val="007A5498"/>
    <w:rsid w:val="007A5DC3"/>
    <w:rsid w:val="007A72A2"/>
    <w:rsid w:val="007A741C"/>
    <w:rsid w:val="007A7BC0"/>
    <w:rsid w:val="007A7D82"/>
    <w:rsid w:val="007B0D68"/>
    <w:rsid w:val="007B0F8E"/>
    <w:rsid w:val="007B10FA"/>
    <w:rsid w:val="007B199F"/>
    <w:rsid w:val="007B1E74"/>
    <w:rsid w:val="007B2164"/>
    <w:rsid w:val="007B2244"/>
    <w:rsid w:val="007B2AB0"/>
    <w:rsid w:val="007B303C"/>
    <w:rsid w:val="007B39D9"/>
    <w:rsid w:val="007B3F9F"/>
    <w:rsid w:val="007B4AB1"/>
    <w:rsid w:val="007B4C31"/>
    <w:rsid w:val="007B5012"/>
    <w:rsid w:val="007B532F"/>
    <w:rsid w:val="007B53F1"/>
    <w:rsid w:val="007B55E2"/>
    <w:rsid w:val="007B57A1"/>
    <w:rsid w:val="007B5951"/>
    <w:rsid w:val="007B5C15"/>
    <w:rsid w:val="007B61AB"/>
    <w:rsid w:val="007B6900"/>
    <w:rsid w:val="007B6E68"/>
    <w:rsid w:val="007B6ED2"/>
    <w:rsid w:val="007B728A"/>
    <w:rsid w:val="007B7876"/>
    <w:rsid w:val="007B7DC8"/>
    <w:rsid w:val="007B7DDC"/>
    <w:rsid w:val="007C060B"/>
    <w:rsid w:val="007C0863"/>
    <w:rsid w:val="007C095D"/>
    <w:rsid w:val="007C0EEF"/>
    <w:rsid w:val="007C118F"/>
    <w:rsid w:val="007C11EE"/>
    <w:rsid w:val="007C1382"/>
    <w:rsid w:val="007C1490"/>
    <w:rsid w:val="007C1F53"/>
    <w:rsid w:val="007C2C90"/>
    <w:rsid w:val="007C2F83"/>
    <w:rsid w:val="007C2F88"/>
    <w:rsid w:val="007C30DD"/>
    <w:rsid w:val="007C3AC0"/>
    <w:rsid w:val="007C3B32"/>
    <w:rsid w:val="007C3FC0"/>
    <w:rsid w:val="007C432A"/>
    <w:rsid w:val="007C436F"/>
    <w:rsid w:val="007C43BA"/>
    <w:rsid w:val="007C47B1"/>
    <w:rsid w:val="007C56C7"/>
    <w:rsid w:val="007C5764"/>
    <w:rsid w:val="007C59E9"/>
    <w:rsid w:val="007C5C2C"/>
    <w:rsid w:val="007C5D23"/>
    <w:rsid w:val="007C5EF6"/>
    <w:rsid w:val="007C6443"/>
    <w:rsid w:val="007C6728"/>
    <w:rsid w:val="007C67C4"/>
    <w:rsid w:val="007C7939"/>
    <w:rsid w:val="007D0649"/>
    <w:rsid w:val="007D09DF"/>
    <w:rsid w:val="007D0A34"/>
    <w:rsid w:val="007D1438"/>
    <w:rsid w:val="007D1DAA"/>
    <w:rsid w:val="007D26E0"/>
    <w:rsid w:val="007D26E7"/>
    <w:rsid w:val="007D422C"/>
    <w:rsid w:val="007D45C5"/>
    <w:rsid w:val="007D47A3"/>
    <w:rsid w:val="007D4D62"/>
    <w:rsid w:val="007D545D"/>
    <w:rsid w:val="007D5823"/>
    <w:rsid w:val="007D60D5"/>
    <w:rsid w:val="007D67F0"/>
    <w:rsid w:val="007D6BC7"/>
    <w:rsid w:val="007D6F16"/>
    <w:rsid w:val="007D7345"/>
    <w:rsid w:val="007D7A0F"/>
    <w:rsid w:val="007E05B9"/>
    <w:rsid w:val="007E08C0"/>
    <w:rsid w:val="007E0CAE"/>
    <w:rsid w:val="007E0EC6"/>
    <w:rsid w:val="007E13B2"/>
    <w:rsid w:val="007E1582"/>
    <w:rsid w:val="007E1967"/>
    <w:rsid w:val="007E19F5"/>
    <w:rsid w:val="007E1B8F"/>
    <w:rsid w:val="007E1F61"/>
    <w:rsid w:val="007E2284"/>
    <w:rsid w:val="007E24B5"/>
    <w:rsid w:val="007E2A16"/>
    <w:rsid w:val="007E344F"/>
    <w:rsid w:val="007E3644"/>
    <w:rsid w:val="007E3B00"/>
    <w:rsid w:val="007E4317"/>
    <w:rsid w:val="007E46BC"/>
    <w:rsid w:val="007E4885"/>
    <w:rsid w:val="007E48F7"/>
    <w:rsid w:val="007E4C02"/>
    <w:rsid w:val="007E5A39"/>
    <w:rsid w:val="007E65F8"/>
    <w:rsid w:val="007E6DB1"/>
    <w:rsid w:val="007E6EAF"/>
    <w:rsid w:val="007E6FCA"/>
    <w:rsid w:val="007E7127"/>
    <w:rsid w:val="007E7D1E"/>
    <w:rsid w:val="007F02CA"/>
    <w:rsid w:val="007F0467"/>
    <w:rsid w:val="007F0882"/>
    <w:rsid w:val="007F0967"/>
    <w:rsid w:val="007F0E5C"/>
    <w:rsid w:val="007F118C"/>
    <w:rsid w:val="007F1217"/>
    <w:rsid w:val="007F1959"/>
    <w:rsid w:val="007F1A55"/>
    <w:rsid w:val="007F1E65"/>
    <w:rsid w:val="007F2660"/>
    <w:rsid w:val="007F29A8"/>
    <w:rsid w:val="007F2C8A"/>
    <w:rsid w:val="007F3328"/>
    <w:rsid w:val="007F3F5B"/>
    <w:rsid w:val="007F451B"/>
    <w:rsid w:val="007F487F"/>
    <w:rsid w:val="007F4D10"/>
    <w:rsid w:val="007F4DB3"/>
    <w:rsid w:val="007F5170"/>
    <w:rsid w:val="007F5340"/>
    <w:rsid w:val="007F536A"/>
    <w:rsid w:val="007F5B91"/>
    <w:rsid w:val="007F5BE5"/>
    <w:rsid w:val="007F5F82"/>
    <w:rsid w:val="007F663B"/>
    <w:rsid w:val="007F6E87"/>
    <w:rsid w:val="007F7D92"/>
    <w:rsid w:val="007F7EF3"/>
    <w:rsid w:val="007F7F6B"/>
    <w:rsid w:val="00800126"/>
    <w:rsid w:val="00800491"/>
    <w:rsid w:val="00800789"/>
    <w:rsid w:val="00800CB2"/>
    <w:rsid w:val="00801DAB"/>
    <w:rsid w:val="0080239B"/>
    <w:rsid w:val="008023BF"/>
    <w:rsid w:val="00802444"/>
    <w:rsid w:val="0080344F"/>
    <w:rsid w:val="008034F9"/>
    <w:rsid w:val="00803560"/>
    <w:rsid w:val="008037A2"/>
    <w:rsid w:val="008038E7"/>
    <w:rsid w:val="00803958"/>
    <w:rsid w:val="00803C71"/>
    <w:rsid w:val="00803FF7"/>
    <w:rsid w:val="00804105"/>
    <w:rsid w:val="008049EA"/>
    <w:rsid w:val="00804BB1"/>
    <w:rsid w:val="00805E9B"/>
    <w:rsid w:val="00806141"/>
    <w:rsid w:val="0080717D"/>
    <w:rsid w:val="008075B1"/>
    <w:rsid w:val="008076EA"/>
    <w:rsid w:val="0080779A"/>
    <w:rsid w:val="00807B41"/>
    <w:rsid w:val="00807C37"/>
    <w:rsid w:val="00807FB4"/>
    <w:rsid w:val="008104DA"/>
    <w:rsid w:val="00810742"/>
    <w:rsid w:val="008107F4"/>
    <w:rsid w:val="0081138A"/>
    <w:rsid w:val="008122C2"/>
    <w:rsid w:val="008125E3"/>
    <w:rsid w:val="008126F1"/>
    <w:rsid w:val="008127A3"/>
    <w:rsid w:val="00812830"/>
    <w:rsid w:val="00812FEA"/>
    <w:rsid w:val="008143A8"/>
    <w:rsid w:val="008148B1"/>
    <w:rsid w:val="00814A51"/>
    <w:rsid w:val="00814B69"/>
    <w:rsid w:val="00814C26"/>
    <w:rsid w:val="008151A0"/>
    <w:rsid w:val="0081526B"/>
    <w:rsid w:val="008155BF"/>
    <w:rsid w:val="0081580C"/>
    <w:rsid w:val="00815CF2"/>
    <w:rsid w:val="00815E4A"/>
    <w:rsid w:val="008172A1"/>
    <w:rsid w:val="00817C03"/>
    <w:rsid w:val="0082025F"/>
    <w:rsid w:val="008202F2"/>
    <w:rsid w:val="008205CE"/>
    <w:rsid w:val="00820AE7"/>
    <w:rsid w:val="00820BF2"/>
    <w:rsid w:val="00820EC6"/>
    <w:rsid w:val="008213DA"/>
    <w:rsid w:val="00821488"/>
    <w:rsid w:val="008216EE"/>
    <w:rsid w:val="00822256"/>
    <w:rsid w:val="00822944"/>
    <w:rsid w:val="00822EEC"/>
    <w:rsid w:val="008231AD"/>
    <w:rsid w:val="00823BE8"/>
    <w:rsid w:val="0082409B"/>
    <w:rsid w:val="0082411C"/>
    <w:rsid w:val="00824AAC"/>
    <w:rsid w:val="00824BA0"/>
    <w:rsid w:val="00824BDF"/>
    <w:rsid w:val="00824FE0"/>
    <w:rsid w:val="0082587F"/>
    <w:rsid w:val="00825D9C"/>
    <w:rsid w:val="00826653"/>
    <w:rsid w:val="008273B1"/>
    <w:rsid w:val="0082790C"/>
    <w:rsid w:val="00827A1B"/>
    <w:rsid w:val="00827BD7"/>
    <w:rsid w:val="008302DA"/>
    <w:rsid w:val="008305EE"/>
    <w:rsid w:val="00830A8D"/>
    <w:rsid w:val="00830D6C"/>
    <w:rsid w:val="00831148"/>
    <w:rsid w:val="0083184E"/>
    <w:rsid w:val="00831910"/>
    <w:rsid w:val="00831B62"/>
    <w:rsid w:val="00831C06"/>
    <w:rsid w:val="00831F59"/>
    <w:rsid w:val="00832098"/>
    <w:rsid w:val="00832315"/>
    <w:rsid w:val="00832DFD"/>
    <w:rsid w:val="008339BD"/>
    <w:rsid w:val="00833A28"/>
    <w:rsid w:val="00834415"/>
    <w:rsid w:val="00835185"/>
    <w:rsid w:val="0083530C"/>
    <w:rsid w:val="008355AB"/>
    <w:rsid w:val="008357CD"/>
    <w:rsid w:val="008358AD"/>
    <w:rsid w:val="00836B7E"/>
    <w:rsid w:val="00837276"/>
    <w:rsid w:val="008372B3"/>
    <w:rsid w:val="008379C8"/>
    <w:rsid w:val="00837C3D"/>
    <w:rsid w:val="00840AB9"/>
    <w:rsid w:val="00840B05"/>
    <w:rsid w:val="00840EB0"/>
    <w:rsid w:val="00840EB2"/>
    <w:rsid w:val="008415E5"/>
    <w:rsid w:val="008416A4"/>
    <w:rsid w:val="00841DB7"/>
    <w:rsid w:val="00841FFA"/>
    <w:rsid w:val="008424B7"/>
    <w:rsid w:val="008424E8"/>
    <w:rsid w:val="00842F7D"/>
    <w:rsid w:val="008431A8"/>
    <w:rsid w:val="0084402D"/>
    <w:rsid w:val="008442E3"/>
    <w:rsid w:val="008446A9"/>
    <w:rsid w:val="0084481C"/>
    <w:rsid w:val="00844ADF"/>
    <w:rsid w:val="00844C2C"/>
    <w:rsid w:val="0084519D"/>
    <w:rsid w:val="00845C7A"/>
    <w:rsid w:val="008461C5"/>
    <w:rsid w:val="0084642C"/>
    <w:rsid w:val="00846DC8"/>
    <w:rsid w:val="00847BAE"/>
    <w:rsid w:val="00847D0B"/>
    <w:rsid w:val="00851207"/>
    <w:rsid w:val="0085125F"/>
    <w:rsid w:val="008523E1"/>
    <w:rsid w:val="0085259A"/>
    <w:rsid w:val="00852766"/>
    <w:rsid w:val="00852838"/>
    <w:rsid w:val="00852B9F"/>
    <w:rsid w:val="00852C5D"/>
    <w:rsid w:val="00852E35"/>
    <w:rsid w:val="00853D9C"/>
    <w:rsid w:val="00853E39"/>
    <w:rsid w:val="0085466C"/>
    <w:rsid w:val="008547EE"/>
    <w:rsid w:val="00854C2F"/>
    <w:rsid w:val="00855AA3"/>
    <w:rsid w:val="00855D96"/>
    <w:rsid w:val="00856179"/>
    <w:rsid w:val="008562DD"/>
    <w:rsid w:val="00856A09"/>
    <w:rsid w:val="00857492"/>
    <w:rsid w:val="00857A83"/>
    <w:rsid w:val="00857FC3"/>
    <w:rsid w:val="00860768"/>
    <w:rsid w:val="00860953"/>
    <w:rsid w:val="00860D9F"/>
    <w:rsid w:val="00860F8F"/>
    <w:rsid w:val="00861C9B"/>
    <w:rsid w:val="00861F67"/>
    <w:rsid w:val="008620AE"/>
    <w:rsid w:val="008629B6"/>
    <w:rsid w:val="00862D1A"/>
    <w:rsid w:val="00863DD6"/>
    <w:rsid w:val="00863F95"/>
    <w:rsid w:val="008642C0"/>
    <w:rsid w:val="00864809"/>
    <w:rsid w:val="008648F4"/>
    <w:rsid w:val="00864CFC"/>
    <w:rsid w:val="00865158"/>
    <w:rsid w:val="00865353"/>
    <w:rsid w:val="00865FC4"/>
    <w:rsid w:val="008665CB"/>
    <w:rsid w:val="00866667"/>
    <w:rsid w:val="00866785"/>
    <w:rsid w:val="00866986"/>
    <w:rsid w:val="00867669"/>
    <w:rsid w:val="008679A5"/>
    <w:rsid w:val="00870FF6"/>
    <w:rsid w:val="008712A7"/>
    <w:rsid w:val="00871518"/>
    <w:rsid w:val="00871F5A"/>
    <w:rsid w:val="008725FE"/>
    <w:rsid w:val="00872850"/>
    <w:rsid w:val="00872878"/>
    <w:rsid w:val="00872B49"/>
    <w:rsid w:val="008751A9"/>
    <w:rsid w:val="0087549D"/>
    <w:rsid w:val="0087553B"/>
    <w:rsid w:val="00875AB4"/>
    <w:rsid w:val="00875D91"/>
    <w:rsid w:val="008767EA"/>
    <w:rsid w:val="00876D09"/>
    <w:rsid w:val="008773BF"/>
    <w:rsid w:val="00880495"/>
    <w:rsid w:val="00880B56"/>
    <w:rsid w:val="00880E2A"/>
    <w:rsid w:val="0088225D"/>
    <w:rsid w:val="0088238C"/>
    <w:rsid w:val="0088396B"/>
    <w:rsid w:val="00883D5E"/>
    <w:rsid w:val="00883FBA"/>
    <w:rsid w:val="00884639"/>
    <w:rsid w:val="00884687"/>
    <w:rsid w:val="00884F5A"/>
    <w:rsid w:val="0088506A"/>
    <w:rsid w:val="0088533F"/>
    <w:rsid w:val="00885BA6"/>
    <w:rsid w:val="00886218"/>
    <w:rsid w:val="00886338"/>
    <w:rsid w:val="008865EE"/>
    <w:rsid w:val="008866BD"/>
    <w:rsid w:val="0088728E"/>
    <w:rsid w:val="008877D4"/>
    <w:rsid w:val="00887865"/>
    <w:rsid w:val="00887E12"/>
    <w:rsid w:val="00890D05"/>
    <w:rsid w:val="00890F35"/>
    <w:rsid w:val="00890FEB"/>
    <w:rsid w:val="00891D79"/>
    <w:rsid w:val="008926DC"/>
    <w:rsid w:val="008927DC"/>
    <w:rsid w:val="00892FEA"/>
    <w:rsid w:val="008934AE"/>
    <w:rsid w:val="008936FC"/>
    <w:rsid w:val="00894472"/>
    <w:rsid w:val="008944B0"/>
    <w:rsid w:val="00894710"/>
    <w:rsid w:val="00894975"/>
    <w:rsid w:val="0089555C"/>
    <w:rsid w:val="00895E7F"/>
    <w:rsid w:val="008965CC"/>
    <w:rsid w:val="008968B5"/>
    <w:rsid w:val="00896934"/>
    <w:rsid w:val="00896C79"/>
    <w:rsid w:val="00896E5E"/>
    <w:rsid w:val="00897845"/>
    <w:rsid w:val="0089793F"/>
    <w:rsid w:val="00897E73"/>
    <w:rsid w:val="008A048F"/>
    <w:rsid w:val="008A0AD3"/>
    <w:rsid w:val="008A0B4A"/>
    <w:rsid w:val="008A0C43"/>
    <w:rsid w:val="008A0EB9"/>
    <w:rsid w:val="008A107B"/>
    <w:rsid w:val="008A1F38"/>
    <w:rsid w:val="008A2532"/>
    <w:rsid w:val="008A26F5"/>
    <w:rsid w:val="008A2A47"/>
    <w:rsid w:val="008A2B97"/>
    <w:rsid w:val="008A2CB2"/>
    <w:rsid w:val="008A3341"/>
    <w:rsid w:val="008A397A"/>
    <w:rsid w:val="008A3A4E"/>
    <w:rsid w:val="008A3B0E"/>
    <w:rsid w:val="008A3CB4"/>
    <w:rsid w:val="008A3DBE"/>
    <w:rsid w:val="008A418E"/>
    <w:rsid w:val="008A4550"/>
    <w:rsid w:val="008A4556"/>
    <w:rsid w:val="008A4D89"/>
    <w:rsid w:val="008A4F4A"/>
    <w:rsid w:val="008A55AF"/>
    <w:rsid w:val="008A5914"/>
    <w:rsid w:val="008A60E7"/>
    <w:rsid w:val="008A6764"/>
    <w:rsid w:val="008A6A3F"/>
    <w:rsid w:val="008A6B3D"/>
    <w:rsid w:val="008A7430"/>
    <w:rsid w:val="008A74CD"/>
    <w:rsid w:val="008A74E3"/>
    <w:rsid w:val="008B00C5"/>
    <w:rsid w:val="008B091B"/>
    <w:rsid w:val="008B12F4"/>
    <w:rsid w:val="008B13C0"/>
    <w:rsid w:val="008B1949"/>
    <w:rsid w:val="008B1BC9"/>
    <w:rsid w:val="008B1C62"/>
    <w:rsid w:val="008B251D"/>
    <w:rsid w:val="008B34F3"/>
    <w:rsid w:val="008B394D"/>
    <w:rsid w:val="008B3B64"/>
    <w:rsid w:val="008B3E27"/>
    <w:rsid w:val="008B3E61"/>
    <w:rsid w:val="008B425C"/>
    <w:rsid w:val="008B4770"/>
    <w:rsid w:val="008B499C"/>
    <w:rsid w:val="008B4F8F"/>
    <w:rsid w:val="008B5774"/>
    <w:rsid w:val="008B591B"/>
    <w:rsid w:val="008B5AEF"/>
    <w:rsid w:val="008B6636"/>
    <w:rsid w:val="008B6743"/>
    <w:rsid w:val="008B6796"/>
    <w:rsid w:val="008B783D"/>
    <w:rsid w:val="008C02DD"/>
    <w:rsid w:val="008C08F4"/>
    <w:rsid w:val="008C12B3"/>
    <w:rsid w:val="008C2128"/>
    <w:rsid w:val="008C231F"/>
    <w:rsid w:val="008C2C3D"/>
    <w:rsid w:val="008C3546"/>
    <w:rsid w:val="008C3871"/>
    <w:rsid w:val="008C3B58"/>
    <w:rsid w:val="008C492D"/>
    <w:rsid w:val="008C4DF5"/>
    <w:rsid w:val="008C574A"/>
    <w:rsid w:val="008C5F23"/>
    <w:rsid w:val="008C6387"/>
    <w:rsid w:val="008C63CB"/>
    <w:rsid w:val="008C6664"/>
    <w:rsid w:val="008C6D3D"/>
    <w:rsid w:val="008C742A"/>
    <w:rsid w:val="008C7BBC"/>
    <w:rsid w:val="008D0522"/>
    <w:rsid w:val="008D05B5"/>
    <w:rsid w:val="008D07D5"/>
    <w:rsid w:val="008D0A98"/>
    <w:rsid w:val="008D0FDD"/>
    <w:rsid w:val="008D118E"/>
    <w:rsid w:val="008D1478"/>
    <w:rsid w:val="008D30CB"/>
    <w:rsid w:val="008D33A4"/>
    <w:rsid w:val="008D3ACB"/>
    <w:rsid w:val="008D426D"/>
    <w:rsid w:val="008D495E"/>
    <w:rsid w:val="008D4C1A"/>
    <w:rsid w:val="008D5815"/>
    <w:rsid w:val="008D5B33"/>
    <w:rsid w:val="008D6646"/>
    <w:rsid w:val="008D6B2F"/>
    <w:rsid w:val="008E0007"/>
    <w:rsid w:val="008E0890"/>
    <w:rsid w:val="008E0A20"/>
    <w:rsid w:val="008E128C"/>
    <w:rsid w:val="008E19B0"/>
    <w:rsid w:val="008E1CBD"/>
    <w:rsid w:val="008E4FB2"/>
    <w:rsid w:val="008E51D5"/>
    <w:rsid w:val="008E549E"/>
    <w:rsid w:val="008E59EA"/>
    <w:rsid w:val="008E5C59"/>
    <w:rsid w:val="008E61CC"/>
    <w:rsid w:val="008E645F"/>
    <w:rsid w:val="008E6965"/>
    <w:rsid w:val="008E6DF1"/>
    <w:rsid w:val="008E6FF7"/>
    <w:rsid w:val="008E70EF"/>
    <w:rsid w:val="008E718D"/>
    <w:rsid w:val="008E7859"/>
    <w:rsid w:val="008E7EDF"/>
    <w:rsid w:val="008F0502"/>
    <w:rsid w:val="008F056F"/>
    <w:rsid w:val="008F0B61"/>
    <w:rsid w:val="008F0D69"/>
    <w:rsid w:val="008F1B9C"/>
    <w:rsid w:val="008F203D"/>
    <w:rsid w:val="008F2279"/>
    <w:rsid w:val="008F233C"/>
    <w:rsid w:val="008F2362"/>
    <w:rsid w:val="008F2509"/>
    <w:rsid w:val="008F2C97"/>
    <w:rsid w:val="008F2D9B"/>
    <w:rsid w:val="008F34F1"/>
    <w:rsid w:val="008F3A4C"/>
    <w:rsid w:val="008F3B79"/>
    <w:rsid w:val="008F3DA4"/>
    <w:rsid w:val="008F4FB3"/>
    <w:rsid w:val="008F5ED2"/>
    <w:rsid w:val="008F5F13"/>
    <w:rsid w:val="008F63FA"/>
    <w:rsid w:val="008F6986"/>
    <w:rsid w:val="008F6CE5"/>
    <w:rsid w:val="008F6D09"/>
    <w:rsid w:val="008F7110"/>
    <w:rsid w:val="008F73E5"/>
    <w:rsid w:val="008F7DC1"/>
    <w:rsid w:val="009001FA"/>
    <w:rsid w:val="00900ACA"/>
    <w:rsid w:val="00900FA5"/>
    <w:rsid w:val="00902689"/>
    <w:rsid w:val="00902A57"/>
    <w:rsid w:val="00902C8E"/>
    <w:rsid w:val="009031A9"/>
    <w:rsid w:val="0090328C"/>
    <w:rsid w:val="00903556"/>
    <w:rsid w:val="009037F3"/>
    <w:rsid w:val="009038EE"/>
    <w:rsid w:val="00904390"/>
    <w:rsid w:val="00904C7B"/>
    <w:rsid w:val="00904CC6"/>
    <w:rsid w:val="009055DB"/>
    <w:rsid w:val="00905605"/>
    <w:rsid w:val="00905B3C"/>
    <w:rsid w:val="00906265"/>
    <w:rsid w:val="00906CD9"/>
    <w:rsid w:val="00906E55"/>
    <w:rsid w:val="00906EAF"/>
    <w:rsid w:val="00906FDA"/>
    <w:rsid w:val="009071D0"/>
    <w:rsid w:val="0090726F"/>
    <w:rsid w:val="0090738C"/>
    <w:rsid w:val="0091065D"/>
    <w:rsid w:val="009109AB"/>
    <w:rsid w:val="00910FC5"/>
    <w:rsid w:val="00911444"/>
    <w:rsid w:val="00911877"/>
    <w:rsid w:val="00911D9D"/>
    <w:rsid w:val="00912390"/>
    <w:rsid w:val="00912976"/>
    <w:rsid w:val="00912988"/>
    <w:rsid w:val="00912F7E"/>
    <w:rsid w:val="00913102"/>
    <w:rsid w:val="009132AA"/>
    <w:rsid w:val="00913358"/>
    <w:rsid w:val="009133A4"/>
    <w:rsid w:val="00913AAE"/>
    <w:rsid w:val="00913CF6"/>
    <w:rsid w:val="00914259"/>
    <w:rsid w:val="00914270"/>
    <w:rsid w:val="0091457D"/>
    <w:rsid w:val="009150F1"/>
    <w:rsid w:val="009153E5"/>
    <w:rsid w:val="009158EF"/>
    <w:rsid w:val="00915CF2"/>
    <w:rsid w:val="009162B2"/>
    <w:rsid w:val="009162B8"/>
    <w:rsid w:val="00916304"/>
    <w:rsid w:val="0091735D"/>
    <w:rsid w:val="0091798E"/>
    <w:rsid w:val="00917BBC"/>
    <w:rsid w:val="00917FEC"/>
    <w:rsid w:val="009202F1"/>
    <w:rsid w:val="00920EE0"/>
    <w:rsid w:val="009210CA"/>
    <w:rsid w:val="00921103"/>
    <w:rsid w:val="00921ACE"/>
    <w:rsid w:val="00921AE7"/>
    <w:rsid w:val="00921B85"/>
    <w:rsid w:val="00922A40"/>
    <w:rsid w:val="00922F0B"/>
    <w:rsid w:val="009230FE"/>
    <w:rsid w:val="0092322E"/>
    <w:rsid w:val="00923D84"/>
    <w:rsid w:val="00925699"/>
    <w:rsid w:val="00925994"/>
    <w:rsid w:val="00925C82"/>
    <w:rsid w:val="00925E93"/>
    <w:rsid w:val="00926286"/>
    <w:rsid w:val="00926459"/>
    <w:rsid w:val="009268E9"/>
    <w:rsid w:val="00926BDC"/>
    <w:rsid w:val="0092747F"/>
    <w:rsid w:val="00927707"/>
    <w:rsid w:val="00927960"/>
    <w:rsid w:val="00927C22"/>
    <w:rsid w:val="00927FD5"/>
    <w:rsid w:val="00930178"/>
    <w:rsid w:val="009305F2"/>
    <w:rsid w:val="00930898"/>
    <w:rsid w:val="009317FE"/>
    <w:rsid w:val="00931FC7"/>
    <w:rsid w:val="009325FD"/>
    <w:rsid w:val="00932811"/>
    <w:rsid w:val="00932985"/>
    <w:rsid w:val="00932CBE"/>
    <w:rsid w:val="009331FC"/>
    <w:rsid w:val="009335C8"/>
    <w:rsid w:val="0093362E"/>
    <w:rsid w:val="00933F1B"/>
    <w:rsid w:val="009340E7"/>
    <w:rsid w:val="00934789"/>
    <w:rsid w:val="00934D8A"/>
    <w:rsid w:val="00935448"/>
    <w:rsid w:val="00935978"/>
    <w:rsid w:val="00936A8D"/>
    <w:rsid w:val="00936A90"/>
    <w:rsid w:val="0093771C"/>
    <w:rsid w:val="00937749"/>
    <w:rsid w:val="00937F41"/>
    <w:rsid w:val="009402A0"/>
    <w:rsid w:val="0094030B"/>
    <w:rsid w:val="009411DB"/>
    <w:rsid w:val="00941485"/>
    <w:rsid w:val="009429FF"/>
    <w:rsid w:val="00942E69"/>
    <w:rsid w:val="00943556"/>
    <w:rsid w:val="009436E8"/>
    <w:rsid w:val="009438CF"/>
    <w:rsid w:val="00943A2D"/>
    <w:rsid w:val="00943B56"/>
    <w:rsid w:val="0094418A"/>
    <w:rsid w:val="00944497"/>
    <w:rsid w:val="009444D0"/>
    <w:rsid w:val="0094472C"/>
    <w:rsid w:val="00944B4C"/>
    <w:rsid w:val="009453DB"/>
    <w:rsid w:val="009458BD"/>
    <w:rsid w:val="00945BDA"/>
    <w:rsid w:val="00945C3F"/>
    <w:rsid w:val="0094609A"/>
    <w:rsid w:val="00946372"/>
    <w:rsid w:val="00946A85"/>
    <w:rsid w:val="00946B9F"/>
    <w:rsid w:val="0094747F"/>
    <w:rsid w:val="009477FE"/>
    <w:rsid w:val="00947BBB"/>
    <w:rsid w:val="00947CD7"/>
    <w:rsid w:val="00950AA2"/>
    <w:rsid w:val="00950B47"/>
    <w:rsid w:val="00950F08"/>
    <w:rsid w:val="00951289"/>
    <w:rsid w:val="009513ED"/>
    <w:rsid w:val="009520F5"/>
    <w:rsid w:val="0095245C"/>
    <w:rsid w:val="00952650"/>
    <w:rsid w:val="00952FBB"/>
    <w:rsid w:val="00953399"/>
    <w:rsid w:val="00953D70"/>
    <w:rsid w:val="00954764"/>
    <w:rsid w:val="00954BB6"/>
    <w:rsid w:val="009558FE"/>
    <w:rsid w:val="00955A49"/>
    <w:rsid w:val="00955A82"/>
    <w:rsid w:val="00956346"/>
    <w:rsid w:val="009566D2"/>
    <w:rsid w:val="009568CF"/>
    <w:rsid w:val="00956A70"/>
    <w:rsid w:val="00957115"/>
    <w:rsid w:val="00957239"/>
    <w:rsid w:val="00957D21"/>
    <w:rsid w:val="009605BD"/>
    <w:rsid w:val="00960767"/>
    <w:rsid w:val="00960779"/>
    <w:rsid w:val="00960826"/>
    <w:rsid w:val="00960A3B"/>
    <w:rsid w:val="00960A7F"/>
    <w:rsid w:val="00960AA0"/>
    <w:rsid w:val="0096117B"/>
    <w:rsid w:val="00961244"/>
    <w:rsid w:val="009613F3"/>
    <w:rsid w:val="00962305"/>
    <w:rsid w:val="00962CBA"/>
    <w:rsid w:val="00962E7B"/>
    <w:rsid w:val="00963309"/>
    <w:rsid w:val="009634CA"/>
    <w:rsid w:val="00963532"/>
    <w:rsid w:val="00963C45"/>
    <w:rsid w:val="00964E1C"/>
    <w:rsid w:val="00965732"/>
    <w:rsid w:val="00965FEC"/>
    <w:rsid w:val="00966397"/>
    <w:rsid w:val="0096654E"/>
    <w:rsid w:val="00966C4F"/>
    <w:rsid w:val="00966DFF"/>
    <w:rsid w:val="00966EA8"/>
    <w:rsid w:val="00966F1F"/>
    <w:rsid w:val="00966FD5"/>
    <w:rsid w:val="009672B9"/>
    <w:rsid w:val="009674CA"/>
    <w:rsid w:val="00967783"/>
    <w:rsid w:val="00967D62"/>
    <w:rsid w:val="00970626"/>
    <w:rsid w:val="0097098F"/>
    <w:rsid w:val="00971505"/>
    <w:rsid w:val="00971652"/>
    <w:rsid w:val="00971B2C"/>
    <w:rsid w:val="009726B5"/>
    <w:rsid w:val="00972A73"/>
    <w:rsid w:val="00972B01"/>
    <w:rsid w:val="00972C2E"/>
    <w:rsid w:val="0097307D"/>
    <w:rsid w:val="00973296"/>
    <w:rsid w:val="009736B1"/>
    <w:rsid w:val="00973B78"/>
    <w:rsid w:val="00973C92"/>
    <w:rsid w:val="00974BA6"/>
    <w:rsid w:val="00975631"/>
    <w:rsid w:val="00975D17"/>
    <w:rsid w:val="00975D9F"/>
    <w:rsid w:val="00976258"/>
    <w:rsid w:val="00976615"/>
    <w:rsid w:val="00976BA7"/>
    <w:rsid w:val="00977311"/>
    <w:rsid w:val="009777B9"/>
    <w:rsid w:val="00977EED"/>
    <w:rsid w:val="00980134"/>
    <w:rsid w:val="00980392"/>
    <w:rsid w:val="00980CD8"/>
    <w:rsid w:val="00981626"/>
    <w:rsid w:val="00982046"/>
    <w:rsid w:val="009828C4"/>
    <w:rsid w:val="009828F4"/>
    <w:rsid w:val="00982B84"/>
    <w:rsid w:val="009831BE"/>
    <w:rsid w:val="0098349E"/>
    <w:rsid w:val="009834E9"/>
    <w:rsid w:val="00983697"/>
    <w:rsid w:val="00983EAE"/>
    <w:rsid w:val="00984167"/>
    <w:rsid w:val="0098456D"/>
    <w:rsid w:val="0098470E"/>
    <w:rsid w:val="00984BFB"/>
    <w:rsid w:val="00985865"/>
    <w:rsid w:val="00985C22"/>
    <w:rsid w:val="00985CFF"/>
    <w:rsid w:val="009867A6"/>
    <w:rsid w:val="00986ED6"/>
    <w:rsid w:val="00987AD7"/>
    <w:rsid w:val="00987B27"/>
    <w:rsid w:val="0099001F"/>
    <w:rsid w:val="009908B1"/>
    <w:rsid w:val="009908FB"/>
    <w:rsid w:val="00991856"/>
    <w:rsid w:val="00991A16"/>
    <w:rsid w:val="0099253F"/>
    <w:rsid w:val="00992735"/>
    <w:rsid w:val="0099275D"/>
    <w:rsid w:val="00992F88"/>
    <w:rsid w:val="009939EF"/>
    <w:rsid w:val="00993C45"/>
    <w:rsid w:val="00993DFE"/>
    <w:rsid w:val="009941D6"/>
    <w:rsid w:val="0099438A"/>
    <w:rsid w:val="00995995"/>
    <w:rsid w:val="009959F3"/>
    <w:rsid w:val="00995A8A"/>
    <w:rsid w:val="00995F7F"/>
    <w:rsid w:val="00996C88"/>
    <w:rsid w:val="009972BD"/>
    <w:rsid w:val="00997AEE"/>
    <w:rsid w:val="009A08DD"/>
    <w:rsid w:val="009A0C60"/>
    <w:rsid w:val="009A0E2F"/>
    <w:rsid w:val="009A0EB9"/>
    <w:rsid w:val="009A11CE"/>
    <w:rsid w:val="009A1356"/>
    <w:rsid w:val="009A1D21"/>
    <w:rsid w:val="009A2C22"/>
    <w:rsid w:val="009A305A"/>
    <w:rsid w:val="009A308D"/>
    <w:rsid w:val="009A3461"/>
    <w:rsid w:val="009A3707"/>
    <w:rsid w:val="009A3DF4"/>
    <w:rsid w:val="009A429F"/>
    <w:rsid w:val="009A4746"/>
    <w:rsid w:val="009A529F"/>
    <w:rsid w:val="009A5438"/>
    <w:rsid w:val="009A6556"/>
    <w:rsid w:val="009A68F9"/>
    <w:rsid w:val="009A70D0"/>
    <w:rsid w:val="009B0161"/>
    <w:rsid w:val="009B0226"/>
    <w:rsid w:val="009B0298"/>
    <w:rsid w:val="009B0B03"/>
    <w:rsid w:val="009B1E84"/>
    <w:rsid w:val="009B1E93"/>
    <w:rsid w:val="009B2313"/>
    <w:rsid w:val="009B2DF7"/>
    <w:rsid w:val="009B2ED1"/>
    <w:rsid w:val="009B30BD"/>
    <w:rsid w:val="009B3602"/>
    <w:rsid w:val="009B3F86"/>
    <w:rsid w:val="009B4349"/>
    <w:rsid w:val="009B44EA"/>
    <w:rsid w:val="009B462A"/>
    <w:rsid w:val="009B465F"/>
    <w:rsid w:val="009B4943"/>
    <w:rsid w:val="009B4B85"/>
    <w:rsid w:val="009B5357"/>
    <w:rsid w:val="009B5C49"/>
    <w:rsid w:val="009B5E22"/>
    <w:rsid w:val="009B5E3D"/>
    <w:rsid w:val="009B62AE"/>
    <w:rsid w:val="009B6983"/>
    <w:rsid w:val="009B728D"/>
    <w:rsid w:val="009B72C8"/>
    <w:rsid w:val="009B75CD"/>
    <w:rsid w:val="009C0288"/>
    <w:rsid w:val="009C0D4B"/>
    <w:rsid w:val="009C0DF3"/>
    <w:rsid w:val="009C1450"/>
    <w:rsid w:val="009C156C"/>
    <w:rsid w:val="009C1584"/>
    <w:rsid w:val="009C1E48"/>
    <w:rsid w:val="009C20D9"/>
    <w:rsid w:val="009C2193"/>
    <w:rsid w:val="009C25B2"/>
    <w:rsid w:val="009C2C64"/>
    <w:rsid w:val="009C2EC6"/>
    <w:rsid w:val="009C396D"/>
    <w:rsid w:val="009C398E"/>
    <w:rsid w:val="009C3AE2"/>
    <w:rsid w:val="009C44F4"/>
    <w:rsid w:val="009C49BA"/>
    <w:rsid w:val="009C4AED"/>
    <w:rsid w:val="009C4F3F"/>
    <w:rsid w:val="009C5066"/>
    <w:rsid w:val="009C51D9"/>
    <w:rsid w:val="009C53C3"/>
    <w:rsid w:val="009C545A"/>
    <w:rsid w:val="009C5650"/>
    <w:rsid w:val="009C58B0"/>
    <w:rsid w:val="009C6A68"/>
    <w:rsid w:val="009C6AE3"/>
    <w:rsid w:val="009C791D"/>
    <w:rsid w:val="009D023D"/>
    <w:rsid w:val="009D06D1"/>
    <w:rsid w:val="009D1A25"/>
    <w:rsid w:val="009D1A5B"/>
    <w:rsid w:val="009D29DB"/>
    <w:rsid w:val="009D3412"/>
    <w:rsid w:val="009D3654"/>
    <w:rsid w:val="009D385E"/>
    <w:rsid w:val="009D3BEA"/>
    <w:rsid w:val="009D4063"/>
    <w:rsid w:val="009D4305"/>
    <w:rsid w:val="009D461C"/>
    <w:rsid w:val="009D48C0"/>
    <w:rsid w:val="009D48C3"/>
    <w:rsid w:val="009D4B15"/>
    <w:rsid w:val="009D4BAD"/>
    <w:rsid w:val="009D519A"/>
    <w:rsid w:val="009D54EF"/>
    <w:rsid w:val="009D59C6"/>
    <w:rsid w:val="009D5EF4"/>
    <w:rsid w:val="009D6129"/>
    <w:rsid w:val="009D617E"/>
    <w:rsid w:val="009D64AA"/>
    <w:rsid w:val="009D6736"/>
    <w:rsid w:val="009D6B47"/>
    <w:rsid w:val="009D71FD"/>
    <w:rsid w:val="009D7666"/>
    <w:rsid w:val="009D7829"/>
    <w:rsid w:val="009E010A"/>
    <w:rsid w:val="009E0ACB"/>
    <w:rsid w:val="009E0CC4"/>
    <w:rsid w:val="009E141F"/>
    <w:rsid w:val="009E148A"/>
    <w:rsid w:val="009E1548"/>
    <w:rsid w:val="009E15EB"/>
    <w:rsid w:val="009E2158"/>
    <w:rsid w:val="009E21E5"/>
    <w:rsid w:val="009E23FF"/>
    <w:rsid w:val="009E265A"/>
    <w:rsid w:val="009E311B"/>
    <w:rsid w:val="009E32C3"/>
    <w:rsid w:val="009E349E"/>
    <w:rsid w:val="009E39F9"/>
    <w:rsid w:val="009E3B98"/>
    <w:rsid w:val="009E3BF0"/>
    <w:rsid w:val="009E4095"/>
    <w:rsid w:val="009E4210"/>
    <w:rsid w:val="009E433F"/>
    <w:rsid w:val="009E5202"/>
    <w:rsid w:val="009E5295"/>
    <w:rsid w:val="009E5451"/>
    <w:rsid w:val="009E5C20"/>
    <w:rsid w:val="009E5C69"/>
    <w:rsid w:val="009E5F12"/>
    <w:rsid w:val="009E622D"/>
    <w:rsid w:val="009E62D7"/>
    <w:rsid w:val="009E66E7"/>
    <w:rsid w:val="009E67C3"/>
    <w:rsid w:val="009E6C7A"/>
    <w:rsid w:val="009E7707"/>
    <w:rsid w:val="009F081F"/>
    <w:rsid w:val="009F121A"/>
    <w:rsid w:val="009F145C"/>
    <w:rsid w:val="009F1939"/>
    <w:rsid w:val="009F1A42"/>
    <w:rsid w:val="009F1DFC"/>
    <w:rsid w:val="009F20FA"/>
    <w:rsid w:val="009F212B"/>
    <w:rsid w:val="009F2D45"/>
    <w:rsid w:val="009F319B"/>
    <w:rsid w:val="009F32FF"/>
    <w:rsid w:val="009F38E1"/>
    <w:rsid w:val="009F40F6"/>
    <w:rsid w:val="009F444A"/>
    <w:rsid w:val="009F4C5B"/>
    <w:rsid w:val="009F500A"/>
    <w:rsid w:val="009F517F"/>
    <w:rsid w:val="009F55FC"/>
    <w:rsid w:val="009F579A"/>
    <w:rsid w:val="009F58C9"/>
    <w:rsid w:val="009F5993"/>
    <w:rsid w:val="009F5A50"/>
    <w:rsid w:val="009F5DF4"/>
    <w:rsid w:val="009F61F9"/>
    <w:rsid w:val="009F655F"/>
    <w:rsid w:val="009F7798"/>
    <w:rsid w:val="009F791D"/>
    <w:rsid w:val="009F7E46"/>
    <w:rsid w:val="00A0065C"/>
    <w:rsid w:val="00A010F6"/>
    <w:rsid w:val="00A0186C"/>
    <w:rsid w:val="00A01B3D"/>
    <w:rsid w:val="00A02205"/>
    <w:rsid w:val="00A023F4"/>
    <w:rsid w:val="00A025DA"/>
    <w:rsid w:val="00A02869"/>
    <w:rsid w:val="00A02E17"/>
    <w:rsid w:val="00A03690"/>
    <w:rsid w:val="00A03733"/>
    <w:rsid w:val="00A03F02"/>
    <w:rsid w:val="00A04244"/>
    <w:rsid w:val="00A045BF"/>
    <w:rsid w:val="00A046B3"/>
    <w:rsid w:val="00A04941"/>
    <w:rsid w:val="00A04F61"/>
    <w:rsid w:val="00A0540F"/>
    <w:rsid w:val="00A05EC7"/>
    <w:rsid w:val="00A06445"/>
    <w:rsid w:val="00A06619"/>
    <w:rsid w:val="00A068F9"/>
    <w:rsid w:val="00A10573"/>
    <w:rsid w:val="00A10BFE"/>
    <w:rsid w:val="00A10F06"/>
    <w:rsid w:val="00A11230"/>
    <w:rsid w:val="00A114C1"/>
    <w:rsid w:val="00A120A7"/>
    <w:rsid w:val="00A122B7"/>
    <w:rsid w:val="00A1291A"/>
    <w:rsid w:val="00A12974"/>
    <w:rsid w:val="00A133A4"/>
    <w:rsid w:val="00A148A7"/>
    <w:rsid w:val="00A149D5"/>
    <w:rsid w:val="00A14A0F"/>
    <w:rsid w:val="00A15E3A"/>
    <w:rsid w:val="00A1610C"/>
    <w:rsid w:val="00A1619F"/>
    <w:rsid w:val="00A179B0"/>
    <w:rsid w:val="00A17B27"/>
    <w:rsid w:val="00A17BF0"/>
    <w:rsid w:val="00A17ED9"/>
    <w:rsid w:val="00A2007B"/>
    <w:rsid w:val="00A2036F"/>
    <w:rsid w:val="00A20989"/>
    <w:rsid w:val="00A20E88"/>
    <w:rsid w:val="00A20FD6"/>
    <w:rsid w:val="00A20FFE"/>
    <w:rsid w:val="00A21423"/>
    <w:rsid w:val="00A21587"/>
    <w:rsid w:val="00A216EA"/>
    <w:rsid w:val="00A217C3"/>
    <w:rsid w:val="00A218B9"/>
    <w:rsid w:val="00A22931"/>
    <w:rsid w:val="00A22DE7"/>
    <w:rsid w:val="00A22F2E"/>
    <w:rsid w:val="00A22F5B"/>
    <w:rsid w:val="00A2330B"/>
    <w:rsid w:val="00A2339A"/>
    <w:rsid w:val="00A23754"/>
    <w:rsid w:val="00A23C27"/>
    <w:rsid w:val="00A2404D"/>
    <w:rsid w:val="00A241EE"/>
    <w:rsid w:val="00A24620"/>
    <w:rsid w:val="00A246D5"/>
    <w:rsid w:val="00A24819"/>
    <w:rsid w:val="00A24AED"/>
    <w:rsid w:val="00A255C2"/>
    <w:rsid w:val="00A256EC"/>
    <w:rsid w:val="00A25BA6"/>
    <w:rsid w:val="00A2606F"/>
    <w:rsid w:val="00A26BF4"/>
    <w:rsid w:val="00A276B8"/>
    <w:rsid w:val="00A27BD9"/>
    <w:rsid w:val="00A301A1"/>
    <w:rsid w:val="00A3050D"/>
    <w:rsid w:val="00A3056C"/>
    <w:rsid w:val="00A30964"/>
    <w:rsid w:val="00A30AFE"/>
    <w:rsid w:val="00A30BEC"/>
    <w:rsid w:val="00A30BF4"/>
    <w:rsid w:val="00A30D2F"/>
    <w:rsid w:val="00A30D38"/>
    <w:rsid w:val="00A31219"/>
    <w:rsid w:val="00A31924"/>
    <w:rsid w:val="00A3199B"/>
    <w:rsid w:val="00A319E0"/>
    <w:rsid w:val="00A31BF0"/>
    <w:rsid w:val="00A31E2A"/>
    <w:rsid w:val="00A32233"/>
    <w:rsid w:val="00A32B09"/>
    <w:rsid w:val="00A32CB1"/>
    <w:rsid w:val="00A330D7"/>
    <w:rsid w:val="00A3392A"/>
    <w:rsid w:val="00A3428F"/>
    <w:rsid w:val="00A34829"/>
    <w:rsid w:val="00A356A0"/>
    <w:rsid w:val="00A35C34"/>
    <w:rsid w:val="00A35C86"/>
    <w:rsid w:val="00A36013"/>
    <w:rsid w:val="00A36648"/>
    <w:rsid w:val="00A36F8B"/>
    <w:rsid w:val="00A377FC"/>
    <w:rsid w:val="00A37E64"/>
    <w:rsid w:val="00A4059D"/>
    <w:rsid w:val="00A40E33"/>
    <w:rsid w:val="00A41092"/>
    <w:rsid w:val="00A41554"/>
    <w:rsid w:val="00A4274D"/>
    <w:rsid w:val="00A428BA"/>
    <w:rsid w:val="00A42ECB"/>
    <w:rsid w:val="00A43064"/>
    <w:rsid w:val="00A430F6"/>
    <w:rsid w:val="00A433E8"/>
    <w:rsid w:val="00A434E0"/>
    <w:rsid w:val="00A43C4F"/>
    <w:rsid w:val="00A44126"/>
    <w:rsid w:val="00A44B1F"/>
    <w:rsid w:val="00A44DF1"/>
    <w:rsid w:val="00A45939"/>
    <w:rsid w:val="00A45CBC"/>
    <w:rsid w:val="00A45F76"/>
    <w:rsid w:val="00A4612F"/>
    <w:rsid w:val="00A46390"/>
    <w:rsid w:val="00A463B0"/>
    <w:rsid w:val="00A465B1"/>
    <w:rsid w:val="00A46833"/>
    <w:rsid w:val="00A469F7"/>
    <w:rsid w:val="00A46B3B"/>
    <w:rsid w:val="00A46FA8"/>
    <w:rsid w:val="00A47114"/>
    <w:rsid w:val="00A47397"/>
    <w:rsid w:val="00A47D46"/>
    <w:rsid w:val="00A47EE5"/>
    <w:rsid w:val="00A51596"/>
    <w:rsid w:val="00A515D6"/>
    <w:rsid w:val="00A515F7"/>
    <w:rsid w:val="00A51F9B"/>
    <w:rsid w:val="00A526DC"/>
    <w:rsid w:val="00A52BCB"/>
    <w:rsid w:val="00A52F5B"/>
    <w:rsid w:val="00A530CC"/>
    <w:rsid w:val="00A530DC"/>
    <w:rsid w:val="00A53663"/>
    <w:rsid w:val="00A53FEA"/>
    <w:rsid w:val="00A54656"/>
    <w:rsid w:val="00A54744"/>
    <w:rsid w:val="00A54787"/>
    <w:rsid w:val="00A5507F"/>
    <w:rsid w:val="00A555D4"/>
    <w:rsid w:val="00A555D6"/>
    <w:rsid w:val="00A55E91"/>
    <w:rsid w:val="00A56472"/>
    <w:rsid w:val="00A56C2D"/>
    <w:rsid w:val="00A56E76"/>
    <w:rsid w:val="00A572A5"/>
    <w:rsid w:val="00A57C8A"/>
    <w:rsid w:val="00A57D3D"/>
    <w:rsid w:val="00A6067E"/>
    <w:rsid w:val="00A60F65"/>
    <w:rsid w:val="00A6100C"/>
    <w:rsid w:val="00A611C6"/>
    <w:rsid w:val="00A61B4A"/>
    <w:rsid w:val="00A62465"/>
    <w:rsid w:val="00A62C87"/>
    <w:rsid w:val="00A63012"/>
    <w:rsid w:val="00A63106"/>
    <w:rsid w:val="00A63135"/>
    <w:rsid w:val="00A631F4"/>
    <w:rsid w:val="00A6337B"/>
    <w:rsid w:val="00A6357A"/>
    <w:rsid w:val="00A63EB1"/>
    <w:rsid w:val="00A6480E"/>
    <w:rsid w:val="00A652F4"/>
    <w:rsid w:val="00A65A3F"/>
    <w:rsid w:val="00A662C7"/>
    <w:rsid w:val="00A665AC"/>
    <w:rsid w:val="00A66EE7"/>
    <w:rsid w:val="00A66F33"/>
    <w:rsid w:val="00A66F62"/>
    <w:rsid w:val="00A67084"/>
    <w:rsid w:val="00A67C91"/>
    <w:rsid w:val="00A702EC"/>
    <w:rsid w:val="00A70528"/>
    <w:rsid w:val="00A70CEB"/>
    <w:rsid w:val="00A71564"/>
    <w:rsid w:val="00A71D86"/>
    <w:rsid w:val="00A722DA"/>
    <w:rsid w:val="00A72C2D"/>
    <w:rsid w:val="00A72D83"/>
    <w:rsid w:val="00A730BC"/>
    <w:rsid w:val="00A731E3"/>
    <w:rsid w:val="00A736A2"/>
    <w:rsid w:val="00A73AD3"/>
    <w:rsid w:val="00A73CF8"/>
    <w:rsid w:val="00A73FFB"/>
    <w:rsid w:val="00A744D3"/>
    <w:rsid w:val="00A745D0"/>
    <w:rsid w:val="00A745D6"/>
    <w:rsid w:val="00A74B10"/>
    <w:rsid w:val="00A74C1C"/>
    <w:rsid w:val="00A74F13"/>
    <w:rsid w:val="00A757B6"/>
    <w:rsid w:val="00A76049"/>
    <w:rsid w:val="00A76B29"/>
    <w:rsid w:val="00A76CA4"/>
    <w:rsid w:val="00A779AD"/>
    <w:rsid w:val="00A8016A"/>
    <w:rsid w:val="00A80B05"/>
    <w:rsid w:val="00A80D8D"/>
    <w:rsid w:val="00A81459"/>
    <w:rsid w:val="00A81E09"/>
    <w:rsid w:val="00A81F57"/>
    <w:rsid w:val="00A82A8E"/>
    <w:rsid w:val="00A82FB8"/>
    <w:rsid w:val="00A83436"/>
    <w:rsid w:val="00A83E68"/>
    <w:rsid w:val="00A83FB9"/>
    <w:rsid w:val="00A8406B"/>
    <w:rsid w:val="00A84746"/>
    <w:rsid w:val="00A84804"/>
    <w:rsid w:val="00A84B9D"/>
    <w:rsid w:val="00A84D9B"/>
    <w:rsid w:val="00A863FC"/>
    <w:rsid w:val="00A86C7D"/>
    <w:rsid w:val="00A86F24"/>
    <w:rsid w:val="00A8712F"/>
    <w:rsid w:val="00A87283"/>
    <w:rsid w:val="00A8774A"/>
    <w:rsid w:val="00A87FCD"/>
    <w:rsid w:val="00A9055F"/>
    <w:rsid w:val="00A90C37"/>
    <w:rsid w:val="00A91ABB"/>
    <w:rsid w:val="00A92660"/>
    <w:rsid w:val="00A92927"/>
    <w:rsid w:val="00A92AAF"/>
    <w:rsid w:val="00A92C56"/>
    <w:rsid w:val="00A92CBA"/>
    <w:rsid w:val="00A92F22"/>
    <w:rsid w:val="00A93283"/>
    <w:rsid w:val="00A93CEA"/>
    <w:rsid w:val="00A93D67"/>
    <w:rsid w:val="00A93F82"/>
    <w:rsid w:val="00A946E4"/>
    <w:rsid w:val="00A949AD"/>
    <w:rsid w:val="00A94A40"/>
    <w:rsid w:val="00A95CE1"/>
    <w:rsid w:val="00A95FF7"/>
    <w:rsid w:val="00A96767"/>
    <w:rsid w:val="00A96868"/>
    <w:rsid w:val="00A969C6"/>
    <w:rsid w:val="00A96C68"/>
    <w:rsid w:val="00A96C81"/>
    <w:rsid w:val="00A96F8F"/>
    <w:rsid w:val="00A97151"/>
    <w:rsid w:val="00A975F9"/>
    <w:rsid w:val="00A97B78"/>
    <w:rsid w:val="00A97BE3"/>
    <w:rsid w:val="00A97C10"/>
    <w:rsid w:val="00A97F0C"/>
    <w:rsid w:val="00AA004F"/>
    <w:rsid w:val="00AA00C7"/>
    <w:rsid w:val="00AA014A"/>
    <w:rsid w:val="00AA0897"/>
    <w:rsid w:val="00AA0D29"/>
    <w:rsid w:val="00AA1048"/>
    <w:rsid w:val="00AA105C"/>
    <w:rsid w:val="00AA1710"/>
    <w:rsid w:val="00AA1925"/>
    <w:rsid w:val="00AA1B9A"/>
    <w:rsid w:val="00AA20C2"/>
    <w:rsid w:val="00AA2F75"/>
    <w:rsid w:val="00AA3347"/>
    <w:rsid w:val="00AA338C"/>
    <w:rsid w:val="00AA341F"/>
    <w:rsid w:val="00AA3E21"/>
    <w:rsid w:val="00AA4530"/>
    <w:rsid w:val="00AA46DD"/>
    <w:rsid w:val="00AA4960"/>
    <w:rsid w:val="00AA51DE"/>
    <w:rsid w:val="00AA5470"/>
    <w:rsid w:val="00AA5B34"/>
    <w:rsid w:val="00AA5DA0"/>
    <w:rsid w:val="00AA5FE9"/>
    <w:rsid w:val="00AA640D"/>
    <w:rsid w:val="00AA64A4"/>
    <w:rsid w:val="00AA6829"/>
    <w:rsid w:val="00AA6A46"/>
    <w:rsid w:val="00AA6B6D"/>
    <w:rsid w:val="00AA6C87"/>
    <w:rsid w:val="00AA6E92"/>
    <w:rsid w:val="00AA73E0"/>
    <w:rsid w:val="00AA7B4E"/>
    <w:rsid w:val="00AB0DC4"/>
    <w:rsid w:val="00AB11EF"/>
    <w:rsid w:val="00AB157A"/>
    <w:rsid w:val="00AB1935"/>
    <w:rsid w:val="00AB1CEE"/>
    <w:rsid w:val="00AB1EB3"/>
    <w:rsid w:val="00AB2034"/>
    <w:rsid w:val="00AB2A4A"/>
    <w:rsid w:val="00AB3513"/>
    <w:rsid w:val="00AB3AF6"/>
    <w:rsid w:val="00AB4BBA"/>
    <w:rsid w:val="00AB4FB3"/>
    <w:rsid w:val="00AB517B"/>
    <w:rsid w:val="00AB5D0D"/>
    <w:rsid w:val="00AB60CE"/>
    <w:rsid w:val="00AB60FC"/>
    <w:rsid w:val="00AB6635"/>
    <w:rsid w:val="00AB67CC"/>
    <w:rsid w:val="00AB6C27"/>
    <w:rsid w:val="00AB6CD9"/>
    <w:rsid w:val="00AB79A4"/>
    <w:rsid w:val="00AC0677"/>
    <w:rsid w:val="00AC0726"/>
    <w:rsid w:val="00AC08C5"/>
    <w:rsid w:val="00AC0A98"/>
    <w:rsid w:val="00AC0AC5"/>
    <w:rsid w:val="00AC0C30"/>
    <w:rsid w:val="00AC0D62"/>
    <w:rsid w:val="00AC0E2F"/>
    <w:rsid w:val="00AC16B8"/>
    <w:rsid w:val="00AC198F"/>
    <w:rsid w:val="00AC19CA"/>
    <w:rsid w:val="00AC1A82"/>
    <w:rsid w:val="00AC1BC2"/>
    <w:rsid w:val="00AC1DA4"/>
    <w:rsid w:val="00AC1E8C"/>
    <w:rsid w:val="00AC1F15"/>
    <w:rsid w:val="00AC2508"/>
    <w:rsid w:val="00AC2FD2"/>
    <w:rsid w:val="00AC3022"/>
    <w:rsid w:val="00AC3331"/>
    <w:rsid w:val="00AC39E3"/>
    <w:rsid w:val="00AC3BC1"/>
    <w:rsid w:val="00AC3CBD"/>
    <w:rsid w:val="00AC3F6E"/>
    <w:rsid w:val="00AC4022"/>
    <w:rsid w:val="00AC4E78"/>
    <w:rsid w:val="00AC524A"/>
    <w:rsid w:val="00AC58FB"/>
    <w:rsid w:val="00AC5E4B"/>
    <w:rsid w:val="00AC621D"/>
    <w:rsid w:val="00AC6374"/>
    <w:rsid w:val="00AC6568"/>
    <w:rsid w:val="00AC6805"/>
    <w:rsid w:val="00AC6C7E"/>
    <w:rsid w:val="00AC718A"/>
    <w:rsid w:val="00AC730B"/>
    <w:rsid w:val="00AC736B"/>
    <w:rsid w:val="00AC781E"/>
    <w:rsid w:val="00AC7C93"/>
    <w:rsid w:val="00AC7DD2"/>
    <w:rsid w:val="00AC7DDD"/>
    <w:rsid w:val="00AD0316"/>
    <w:rsid w:val="00AD0456"/>
    <w:rsid w:val="00AD05C6"/>
    <w:rsid w:val="00AD0E17"/>
    <w:rsid w:val="00AD1261"/>
    <w:rsid w:val="00AD14C8"/>
    <w:rsid w:val="00AD1788"/>
    <w:rsid w:val="00AD2442"/>
    <w:rsid w:val="00AD2483"/>
    <w:rsid w:val="00AD2CB0"/>
    <w:rsid w:val="00AD334A"/>
    <w:rsid w:val="00AD37EE"/>
    <w:rsid w:val="00AD38B1"/>
    <w:rsid w:val="00AD3D0D"/>
    <w:rsid w:val="00AD411D"/>
    <w:rsid w:val="00AD4520"/>
    <w:rsid w:val="00AD4830"/>
    <w:rsid w:val="00AD48EA"/>
    <w:rsid w:val="00AD4B02"/>
    <w:rsid w:val="00AD5B71"/>
    <w:rsid w:val="00AD5BF4"/>
    <w:rsid w:val="00AD6041"/>
    <w:rsid w:val="00AD6289"/>
    <w:rsid w:val="00AD64C8"/>
    <w:rsid w:val="00AD6740"/>
    <w:rsid w:val="00AD69DB"/>
    <w:rsid w:val="00AD7527"/>
    <w:rsid w:val="00AD7986"/>
    <w:rsid w:val="00AE0234"/>
    <w:rsid w:val="00AE07D5"/>
    <w:rsid w:val="00AE0893"/>
    <w:rsid w:val="00AE0D9B"/>
    <w:rsid w:val="00AE10AB"/>
    <w:rsid w:val="00AE1152"/>
    <w:rsid w:val="00AE178E"/>
    <w:rsid w:val="00AE20A5"/>
    <w:rsid w:val="00AE228A"/>
    <w:rsid w:val="00AE280C"/>
    <w:rsid w:val="00AE2A25"/>
    <w:rsid w:val="00AE32DC"/>
    <w:rsid w:val="00AE33F6"/>
    <w:rsid w:val="00AE35AD"/>
    <w:rsid w:val="00AE373D"/>
    <w:rsid w:val="00AE4496"/>
    <w:rsid w:val="00AE47FE"/>
    <w:rsid w:val="00AE4B5C"/>
    <w:rsid w:val="00AE4CC9"/>
    <w:rsid w:val="00AE540A"/>
    <w:rsid w:val="00AE5822"/>
    <w:rsid w:val="00AE5C87"/>
    <w:rsid w:val="00AE5CB8"/>
    <w:rsid w:val="00AE6D7F"/>
    <w:rsid w:val="00AE7225"/>
    <w:rsid w:val="00AE72F2"/>
    <w:rsid w:val="00AE771C"/>
    <w:rsid w:val="00AE7BA4"/>
    <w:rsid w:val="00AE7D0C"/>
    <w:rsid w:val="00AE7F02"/>
    <w:rsid w:val="00AF037E"/>
    <w:rsid w:val="00AF06BF"/>
    <w:rsid w:val="00AF085B"/>
    <w:rsid w:val="00AF11BC"/>
    <w:rsid w:val="00AF140D"/>
    <w:rsid w:val="00AF1F3B"/>
    <w:rsid w:val="00AF21C1"/>
    <w:rsid w:val="00AF2575"/>
    <w:rsid w:val="00AF2D3B"/>
    <w:rsid w:val="00AF3291"/>
    <w:rsid w:val="00AF3A9F"/>
    <w:rsid w:val="00AF3C04"/>
    <w:rsid w:val="00AF4231"/>
    <w:rsid w:val="00AF43E4"/>
    <w:rsid w:val="00AF48DC"/>
    <w:rsid w:val="00AF56AB"/>
    <w:rsid w:val="00AF5826"/>
    <w:rsid w:val="00AF58FD"/>
    <w:rsid w:val="00AF5C64"/>
    <w:rsid w:val="00AF6222"/>
    <w:rsid w:val="00AF6633"/>
    <w:rsid w:val="00AF67CF"/>
    <w:rsid w:val="00AF7AB0"/>
    <w:rsid w:val="00AF7AC4"/>
    <w:rsid w:val="00B0034D"/>
    <w:rsid w:val="00B01270"/>
    <w:rsid w:val="00B01F09"/>
    <w:rsid w:val="00B022AE"/>
    <w:rsid w:val="00B02962"/>
    <w:rsid w:val="00B02BF5"/>
    <w:rsid w:val="00B02FA0"/>
    <w:rsid w:val="00B030A3"/>
    <w:rsid w:val="00B0324E"/>
    <w:rsid w:val="00B0353A"/>
    <w:rsid w:val="00B036D0"/>
    <w:rsid w:val="00B044C8"/>
    <w:rsid w:val="00B04F63"/>
    <w:rsid w:val="00B0525A"/>
    <w:rsid w:val="00B058AE"/>
    <w:rsid w:val="00B05AE8"/>
    <w:rsid w:val="00B05FF0"/>
    <w:rsid w:val="00B06007"/>
    <w:rsid w:val="00B063E7"/>
    <w:rsid w:val="00B06A46"/>
    <w:rsid w:val="00B07789"/>
    <w:rsid w:val="00B07887"/>
    <w:rsid w:val="00B07A0B"/>
    <w:rsid w:val="00B07CC3"/>
    <w:rsid w:val="00B102AD"/>
    <w:rsid w:val="00B10BEA"/>
    <w:rsid w:val="00B110CC"/>
    <w:rsid w:val="00B114F5"/>
    <w:rsid w:val="00B11924"/>
    <w:rsid w:val="00B122D2"/>
    <w:rsid w:val="00B13035"/>
    <w:rsid w:val="00B1303B"/>
    <w:rsid w:val="00B134D0"/>
    <w:rsid w:val="00B13ECB"/>
    <w:rsid w:val="00B147E0"/>
    <w:rsid w:val="00B14B29"/>
    <w:rsid w:val="00B14D6C"/>
    <w:rsid w:val="00B15412"/>
    <w:rsid w:val="00B15E33"/>
    <w:rsid w:val="00B15FDF"/>
    <w:rsid w:val="00B16EC0"/>
    <w:rsid w:val="00B17788"/>
    <w:rsid w:val="00B17BFF"/>
    <w:rsid w:val="00B17EC6"/>
    <w:rsid w:val="00B20D7B"/>
    <w:rsid w:val="00B214B2"/>
    <w:rsid w:val="00B21EF6"/>
    <w:rsid w:val="00B226FC"/>
    <w:rsid w:val="00B22ADF"/>
    <w:rsid w:val="00B237E5"/>
    <w:rsid w:val="00B23EA4"/>
    <w:rsid w:val="00B23EC1"/>
    <w:rsid w:val="00B244F6"/>
    <w:rsid w:val="00B25164"/>
    <w:rsid w:val="00B25187"/>
    <w:rsid w:val="00B25273"/>
    <w:rsid w:val="00B255F9"/>
    <w:rsid w:val="00B261DB"/>
    <w:rsid w:val="00B26398"/>
    <w:rsid w:val="00B269A1"/>
    <w:rsid w:val="00B26A0B"/>
    <w:rsid w:val="00B27EF2"/>
    <w:rsid w:val="00B3035C"/>
    <w:rsid w:val="00B306DA"/>
    <w:rsid w:val="00B31B82"/>
    <w:rsid w:val="00B31C74"/>
    <w:rsid w:val="00B31F2B"/>
    <w:rsid w:val="00B32714"/>
    <w:rsid w:val="00B32979"/>
    <w:rsid w:val="00B32BD3"/>
    <w:rsid w:val="00B33597"/>
    <w:rsid w:val="00B336AA"/>
    <w:rsid w:val="00B34027"/>
    <w:rsid w:val="00B345F9"/>
    <w:rsid w:val="00B34C1B"/>
    <w:rsid w:val="00B34DB9"/>
    <w:rsid w:val="00B353F5"/>
    <w:rsid w:val="00B35891"/>
    <w:rsid w:val="00B35AA0"/>
    <w:rsid w:val="00B36556"/>
    <w:rsid w:val="00B36755"/>
    <w:rsid w:val="00B3772E"/>
    <w:rsid w:val="00B3790E"/>
    <w:rsid w:val="00B406E1"/>
    <w:rsid w:val="00B40949"/>
    <w:rsid w:val="00B40D3F"/>
    <w:rsid w:val="00B41519"/>
    <w:rsid w:val="00B41DFF"/>
    <w:rsid w:val="00B41EEF"/>
    <w:rsid w:val="00B4256E"/>
    <w:rsid w:val="00B42593"/>
    <w:rsid w:val="00B42646"/>
    <w:rsid w:val="00B426A4"/>
    <w:rsid w:val="00B42B15"/>
    <w:rsid w:val="00B42D92"/>
    <w:rsid w:val="00B4300C"/>
    <w:rsid w:val="00B43025"/>
    <w:rsid w:val="00B43244"/>
    <w:rsid w:val="00B43287"/>
    <w:rsid w:val="00B43697"/>
    <w:rsid w:val="00B437DB"/>
    <w:rsid w:val="00B444AC"/>
    <w:rsid w:val="00B447B9"/>
    <w:rsid w:val="00B4482E"/>
    <w:rsid w:val="00B44AF1"/>
    <w:rsid w:val="00B44F45"/>
    <w:rsid w:val="00B45033"/>
    <w:rsid w:val="00B45E9B"/>
    <w:rsid w:val="00B4606E"/>
    <w:rsid w:val="00B46804"/>
    <w:rsid w:val="00B46A6E"/>
    <w:rsid w:val="00B46BAF"/>
    <w:rsid w:val="00B472CB"/>
    <w:rsid w:val="00B47C3B"/>
    <w:rsid w:val="00B47F49"/>
    <w:rsid w:val="00B50241"/>
    <w:rsid w:val="00B5025C"/>
    <w:rsid w:val="00B50470"/>
    <w:rsid w:val="00B50627"/>
    <w:rsid w:val="00B5064F"/>
    <w:rsid w:val="00B50AAD"/>
    <w:rsid w:val="00B50AFD"/>
    <w:rsid w:val="00B51168"/>
    <w:rsid w:val="00B51658"/>
    <w:rsid w:val="00B51849"/>
    <w:rsid w:val="00B5232B"/>
    <w:rsid w:val="00B524FF"/>
    <w:rsid w:val="00B525D4"/>
    <w:rsid w:val="00B52725"/>
    <w:rsid w:val="00B5293F"/>
    <w:rsid w:val="00B5396C"/>
    <w:rsid w:val="00B5420F"/>
    <w:rsid w:val="00B545A9"/>
    <w:rsid w:val="00B54C21"/>
    <w:rsid w:val="00B54F08"/>
    <w:rsid w:val="00B55684"/>
    <w:rsid w:val="00B55D2E"/>
    <w:rsid w:val="00B56CC0"/>
    <w:rsid w:val="00B57376"/>
    <w:rsid w:val="00B57B99"/>
    <w:rsid w:val="00B57F1F"/>
    <w:rsid w:val="00B61515"/>
    <w:rsid w:val="00B61870"/>
    <w:rsid w:val="00B61B1A"/>
    <w:rsid w:val="00B626F0"/>
    <w:rsid w:val="00B63402"/>
    <w:rsid w:val="00B63906"/>
    <w:rsid w:val="00B639D4"/>
    <w:rsid w:val="00B64521"/>
    <w:rsid w:val="00B648E7"/>
    <w:rsid w:val="00B64A38"/>
    <w:rsid w:val="00B64F29"/>
    <w:rsid w:val="00B656B9"/>
    <w:rsid w:val="00B65AA3"/>
    <w:rsid w:val="00B661F7"/>
    <w:rsid w:val="00B6635B"/>
    <w:rsid w:val="00B6647D"/>
    <w:rsid w:val="00B665F4"/>
    <w:rsid w:val="00B666EF"/>
    <w:rsid w:val="00B670E3"/>
    <w:rsid w:val="00B672B5"/>
    <w:rsid w:val="00B6750D"/>
    <w:rsid w:val="00B6787D"/>
    <w:rsid w:val="00B67979"/>
    <w:rsid w:val="00B67A0E"/>
    <w:rsid w:val="00B67AD6"/>
    <w:rsid w:val="00B67F94"/>
    <w:rsid w:val="00B67FE2"/>
    <w:rsid w:val="00B70B25"/>
    <w:rsid w:val="00B71441"/>
    <w:rsid w:val="00B715DF"/>
    <w:rsid w:val="00B71A9E"/>
    <w:rsid w:val="00B71C18"/>
    <w:rsid w:val="00B72289"/>
    <w:rsid w:val="00B72A6F"/>
    <w:rsid w:val="00B72CFA"/>
    <w:rsid w:val="00B72DF6"/>
    <w:rsid w:val="00B72EE3"/>
    <w:rsid w:val="00B7376E"/>
    <w:rsid w:val="00B739B2"/>
    <w:rsid w:val="00B741C3"/>
    <w:rsid w:val="00B743FF"/>
    <w:rsid w:val="00B744BE"/>
    <w:rsid w:val="00B74C0E"/>
    <w:rsid w:val="00B74CE4"/>
    <w:rsid w:val="00B750D2"/>
    <w:rsid w:val="00B751E1"/>
    <w:rsid w:val="00B753A4"/>
    <w:rsid w:val="00B757BC"/>
    <w:rsid w:val="00B759A6"/>
    <w:rsid w:val="00B75D32"/>
    <w:rsid w:val="00B75F00"/>
    <w:rsid w:val="00B75F48"/>
    <w:rsid w:val="00B77408"/>
    <w:rsid w:val="00B77670"/>
    <w:rsid w:val="00B80059"/>
    <w:rsid w:val="00B80C7A"/>
    <w:rsid w:val="00B80EC2"/>
    <w:rsid w:val="00B81BCB"/>
    <w:rsid w:val="00B8227D"/>
    <w:rsid w:val="00B82472"/>
    <w:rsid w:val="00B82617"/>
    <w:rsid w:val="00B826EF"/>
    <w:rsid w:val="00B82980"/>
    <w:rsid w:val="00B8298E"/>
    <w:rsid w:val="00B82ABF"/>
    <w:rsid w:val="00B82DD2"/>
    <w:rsid w:val="00B82F2B"/>
    <w:rsid w:val="00B8321F"/>
    <w:rsid w:val="00B8397F"/>
    <w:rsid w:val="00B839D6"/>
    <w:rsid w:val="00B84986"/>
    <w:rsid w:val="00B84A7D"/>
    <w:rsid w:val="00B84A96"/>
    <w:rsid w:val="00B84EAD"/>
    <w:rsid w:val="00B84F12"/>
    <w:rsid w:val="00B850B0"/>
    <w:rsid w:val="00B851C9"/>
    <w:rsid w:val="00B85818"/>
    <w:rsid w:val="00B85992"/>
    <w:rsid w:val="00B865A9"/>
    <w:rsid w:val="00B86F5C"/>
    <w:rsid w:val="00B86FD8"/>
    <w:rsid w:val="00B87666"/>
    <w:rsid w:val="00B90C40"/>
    <w:rsid w:val="00B90D0B"/>
    <w:rsid w:val="00B9136A"/>
    <w:rsid w:val="00B917A0"/>
    <w:rsid w:val="00B918CB"/>
    <w:rsid w:val="00B91996"/>
    <w:rsid w:val="00B91C06"/>
    <w:rsid w:val="00B91D95"/>
    <w:rsid w:val="00B92159"/>
    <w:rsid w:val="00B9229A"/>
    <w:rsid w:val="00B92CDA"/>
    <w:rsid w:val="00B92DAF"/>
    <w:rsid w:val="00B9336C"/>
    <w:rsid w:val="00B93465"/>
    <w:rsid w:val="00B938C3"/>
    <w:rsid w:val="00B93F2F"/>
    <w:rsid w:val="00B942FE"/>
    <w:rsid w:val="00B94B6D"/>
    <w:rsid w:val="00B951DD"/>
    <w:rsid w:val="00B95201"/>
    <w:rsid w:val="00B95337"/>
    <w:rsid w:val="00B9553C"/>
    <w:rsid w:val="00B9577C"/>
    <w:rsid w:val="00B959D2"/>
    <w:rsid w:val="00B96468"/>
    <w:rsid w:val="00B9670D"/>
    <w:rsid w:val="00B96BA0"/>
    <w:rsid w:val="00B96DE5"/>
    <w:rsid w:val="00B96E24"/>
    <w:rsid w:val="00BA0C27"/>
    <w:rsid w:val="00BA2365"/>
    <w:rsid w:val="00BA245B"/>
    <w:rsid w:val="00BA2D83"/>
    <w:rsid w:val="00BA2EC4"/>
    <w:rsid w:val="00BA3365"/>
    <w:rsid w:val="00BA386E"/>
    <w:rsid w:val="00BA3CFF"/>
    <w:rsid w:val="00BA3E47"/>
    <w:rsid w:val="00BA407D"/>
    <w:rsid w:val="00BA4C75"/>
    <w:rsid w:val="00BA5AB6"/>
    <w:rsid w:val="00BA5AFD"/>
    <w:rsid w:val="00BA5DD7"/>
    <w:rsid w:val="00BA6108"/>
    <w:rsid w:val="00BA6940"/>
    <w:rsid w:val="00BA6ABB"/>
    <w:rsid w:val="00BA6DD1"/>
    <w:rsid w:val="00BA6F60"/>
    <w:rsid w:val="00BA7832"/>
    <w:rsid w:val="00BB0028"/>
    <w:rsid w:val="00BB04B2"/>
    <w:rsid w:val="00BB0A4D"/>
    <w:rsid w:val="00BB0B62"/>
    <w:rsid w:val="00BB1093"/>
    <w:rsid w:val="00BB10A2"/>
    <w:rsid w:val="00BB11A1"/>
    <w:rsid w:val="00BB1A1E"/>
    <w:rsid w:val="00BB1A77"/>
    <w:rsid w:val="00BB1D2B"/>
    <w:rsid w:val="00BB21E2"/>
    <w:rsid w:val="00BB2C0E"/>
    <w:rsid w:val="00BB37AB"/>
    <w:rsid w:val="00BB3F33"/>
    <w:rsid w:val="00BB44BC"/>
    <w:rsid w:val="00BB476E"/>
    <w:rsid w:val="00BB4A09"/>
    <w:rsid w:val="00BB4D99"/>
    <w:rsid w:val="00BB502C"/>
    <w:rsid w:val="00BB533D"/>
    <w:rsid w:val="00BB5477"/>
    <w:rsid w:val="00BB57E9"/>
    <w:rsid w:val="00BB5F07"/>
    <w:rsid w:val="00BB5F28"/>
    <w:rsid w:val="00BB6423"/>
    <w:rsid w:val="00BB658B"/>
    <w:rsid w:val="00BB69EA"/>
    <w:rsid w:val="00BB6AAB"/>
    <w:rsid w:val="00BB6E45"/>
    <w:rsid w:val="00BB71CA"/>
    <w:rsid w:val="00BB7339"/>
    <w:rsid w:val="00BB771A"/>
    <w:rsid w:val="00BB7C05"/>
    <w:rsid w:val="00BB7D08"/>
    <w:rsid w:val="00BB7FFD"/>
    <w:rsid w:val="00BC0148"/>
    <w:rsid w:val="00BC0379"/>
    <w:rsid w:val="00BC06C6"/>
    <w:rsid w:val="00BC096C"/>
    <w:rsid w:val="00BC0FB7"/>
    <w:rsid w:val="00BC1890"/>
    <w:rsid w:val="00BC1D09"/>
    <w:rsid w:val="00BC1EE0"/>
    <w:rsid w:val="00BC2295"/>
    <w:rsid w:val="00BC25EA"/>
    <w:rsid w:val="00BC263C"/>
    <w:rsid w:val="00BC2D78"/>
    <w:rsid w:val="00BC375F"/>
    <w:rsid w:val="00BC44C5"/>
    <w:rsid w:val="00BC4905"/>
    <w:rsid w:val="00BC4E11"/>
    <w:rsid w:val="00BC52A7"/>
    <w:rsid w:val="00BC531C"/>
    <w:rsid w:val="00BC5CA4"/>
    <w:rsid w:val="00BC5D2E"/>
    <w:rsid w:val="00BC643C"/>
    <w:rsid w:val="00BC64C8"/>
    <w:rsid w:val="00BC6DD1"/>
    <w:rsid w:val="00BC6F31"/>
    <w:rsid w:val="00BC6FD7"/>
    <w:rsid w:val="00BD00EC"/>
    <w:rsid w:val="00BD0552"/>
    <w:rsid w:val="00BD0A45"/>
    <w:rsid w:val="00BD1D98"/>
    <w:rsid w:val="00BD228D"/>
    <w:rsid w:val="00BD2AEC"/>
    <w:rsid w:val="00BD2B29"/>
    <w:rsid w:val="00BD3313"/>
    <w:rsid w:val="00BD45F8"/>
    <w:rsid w:val="00BD48AB"/>
    <w:rsid w:val="00BD4AC7"/>
    <w:rsid w:val="00BD4C20"/>
    <w:rsid w:val="00BD4F91"/>
    <w:rsid w:val="00BD5C24"/>
    <w:rsid w:val="00BD5C3B"/>
    <w:rsid w:val="00BD63AC"/>
    <w:rsid w:val="00BD69CE"/>
    <w:rsid w:val="00BD73CC"/>
    <w:rsid w:val="00BD77BF"/>
    <w:rsid w:val="00BD7B09"/>
    <w:rsid w:val="00BD7E7A"/>
    <w:rsid w:val="00BD7F5E"/>
    <w:rsid w:val="00BE005F"/>
    <w:rsid w:val="00BE0407"/>
    <w:rsid w:val="00BE1631"/>
    <w:rsid w:val="00BE1811"/>
    <w:rsid w:val="00BE20E7"/>
    <w:rsid w:val="00BE30C3"/>
    <w:rsid w:val="00BE36B0"/>
    <w:rsid w:val="00BE3DBE"/>
    <w:rsid w:val="00BE4077"/>
    <w:rsid w:val="00BE4218"/>
    <w:rsid w:val="00BE4359"/>
    <w:rsid w:val="00BE4406"/>
    <w:rsid w:val="00BE44A1"/>
    <w:rsid w:val="00BE4804"/>
    <w:rsid w:val="00BE48F4"/>
    <w:rsid w:val="00BE4B76"/>
    <w:rsid w:val="00BE52DD"/>
    <w:rsid w:val="00BE562C"/>
    <w:rsid w:val="00BE57BD"/>
    <w:rsid w:val="00BE5833"/>
    <w:rsid w:val="00BE5AF6"/>
    <w:rsid w:val="00BE5E21"/>
    <w:rsid w:val="00BE6834"/>
    <w:rsid w:val="00BE6DE8"/>
    <w:rsid w:val="00BE7693"/>
    <w:rsid w:val="00BE7732"/>
    <w:rsid w:val="00BE77DB"/>
    <w:rsid w:val="00BE7A65"/>
    <w:rsid w:val="00BE7D3A"/>
    <w:rsid w:val="00BE7D61"/>
    <w:rsid w:val="00BE7E06"/>
    <w:rsid w:val="00BF0920"/>
    <w:rsid w:val="00BF093B"/>
    <w:rsid w:val="00BF09D2"/>
    <w:rsid w:val="00BF0F15"/>
    <w:rsid w:val="00BF16FB"/>
    <w:rsid w:val="00BF1C46"/>
    <w:rsid w:val="00BF1F60"/>
    <w:rsid w:val="00BF2C77"/>
    <w:rsid w:val="00BF2E7A"/>
    <w:rsid w:val="00BF31E8"/>
    <w:rsid w:val="00BF3B30"/>
    <w:rsid w:val="00BF3C12"/>
    <w:rsid w:val="00BF3C97"/>
    <w:rsid w:val="00BF4477"/>
    <w:rsid w:val="00BF4B11"/>
    <w:rsid w:val="00BF5134"/>
    <w:rsid w:val="00BF542B"/>
    <w:rsid w:val="00BF5962"/>
    <w:rsid w:val="00BF5C7A"/>
    <w:rsid w:val="00BF6979"/>
    <w:rsid w:val="00BF6A7E"/>
    <w:rsid w:val="00BF6BBC"/>
    <w:rsid w:val="00BF6CEC"/>
    <w:rsid w:val="00C0005A"/>
    <w:rsid w:val="00C00172"/>
    <w:rsid w:val="00C0105D"/>
    <w:rsid w:val="00C0109D"/>
    <w:rsid w:val="00C0116B"/>
    <w:rsid w:val="00C01585"/>
    <w:rsid w:val="00C01AB4"/>
    <w:rsid w:val="00C0201A"/>
    <w:rsid w:val="00C02544"/>
    <w:rsid w:val="00C02A9C"/>
    <w:rsid w:val="00C02CE0"/>
    <w:rsid w:val="00C030A4"/>
    <w:rsid w:val="00C03588"/>
    <w:rsid w:val="00C03788"/>
    <w:rsid w:val="00C0420F"/>
    <w:rsid w:val="00C0458E"/>
    <w:rsid w:val="00C04A89"/>
    <w:rsid w:val="00C04F1D"/>
    <w:rsid w:val="00C05548"/>
    <w:rsid w:val="00C0581E"/>
    <w:rsid w:val="00C06BF7"/>
    <w:rsid w:val="00C072EF"/>
    <w:rsid w:val="00C07A8A"/>
    <w:rsid w:val="00C07C73"/>
    <w:rsid w:val="00C07E2D"/>
    <w:rsid w:val="00C11434"/>
    <w:rsid w:val="00C116C7"/>
    <w:rsid w:val="00C1247C"/>
    <w:rsid w:val="00C124FB"/>
    <w:rsid w:val="00C130A0"/>
    <w:rsid w:val="00C1310F"/>
    <w:rsid w:val="00C13B17"/>
    <w:rsid w:val="00C13DEB"/>
    <w:rsid w:val="00C14087"/>
    <w:rsid w:val="00C144A2"/>
    <w:rsid w:val="00C14599"/>
    <w:rsid w:val="00C14B52"/>
    <w:rsid w:val="00C151E2"/>
    <w:rsid w:val="00C1578A"/>
    <w:rsid w:val="00C159E6"/>
    <w:rsid w:val="00C15AC6"/>
    <w:rsid w:val="00C15B39"/>
    <w:rsid w:val="00C168D8"/>
    <w:rsid w:val="00C170CC"/>
    <w:rsid w:val="00C172CE"/>
    <w:rsid w:val="00C17319"/>
    <w:rsid w:val="00C173DF"/>
    <w:rsid w:val="00C17595"/>
    <w:rsid w:val="00C177BD"/>
    <w:rsid w:val="00C17862"/>
    <w:rsid w:val="00C17930"/>
    <w:rsid w:val="00C17C38"/>
    <w:rsid w:val="00C20065"/>
    <w:rsid w:val="00C206B6"/>
    <w:rsid w:val="00C207DC"/>
    <w:rsid w:val="00C20BE0"/>
    <w:rsid w:val="00C216C2"/>
    <w:rsid w:val="00C21A05"/>
    <w:rsid w:val="00C21C2F"/>
    <w:rsid w:val="00C21C33"/>
    <w:rsid w:val="00C21C57"/>
    <w:rsid w:val="00C2219F"/>
    <w:rsid w:val="00C22682"/>
    <w:rsid w:val="00C22DB2"/>
    <w:rsid w:val="00C23054"/>
    <w:rsid w:val="00C2347A"/>
    <w:rsid w:val="00C234D9"/>
    <w:rsid w:val="00C244F5"/>
    <w:rsid w:val="00C247BD"/>
    <w:rsid w:val="00C248F9"/>
    <w:rsid w:val="00C24C06"/>
    <w:rsid w:val="00C25115"/>
    <w:rsid w:val="00C255B8"/>
    <w:rsid w:val="00C256F3"/>
    <w:rsid w:val="00C25D98"/>
    <w:rsid w:val="00C265EA"/>
    <w:rsid w:val="00C2680B"/>
    <w:rsid w:val="00C26C15"/>
    <w:rsid w:val="00C27202"/>
    <w:rsid w:val="00C2746C"/>
    <w:rsid w:val="00C276F9"/>
    <w:rsid w:val="00C27837"/>
    <w:rsid w:val="00C27D00"/>
    <w:rsid w:val="00C302BE"/>
    <w:rsid w:val="00C30A0E"/>
    <w:rsid w:val="00C30CA3"/>
    <w:rsid w:val="00C311CF"/>
    <w:rsid w:val="00C31260"/>
    <w:rsid w:val="00C317CB"/>
    <w:rsid w:val="00C31886"/>
    <w:rsid w:val="00C31D04"/>
    <w:rsid w:val="00C31D61"/>
    <w:rsid w:val="00C321BE"/>
    <w:rsid w:val="00C3281B"/>
    <w:rsid w:val="00C32A45"/>
    <w:rsid w:val="00C32ACE"/>
    <w:rsid w:val="00C330ED"/>
    <w:rsid w:val="00C33139"/>
    <w:rsid w:val="00C33550"/>
    <w:rsid w:val="00C33C1A"/>
    <w:rsid w:val="00C3406E"/>
    <w:rsid w:val="00C3419A"/>
    <w:rsid w:val="00C35788"/>
    <w:rsid w:val="00C35F19"/>
    <w:rsid w:val="00C35F3C"/>
    <w:rsid w:val="00C36743"/>
    <w:rsid w:val="00C36910"/>
    <w:rsid w:val="00C369CC"/>
    <w:rsid w:val="00C36CD4"/>
    <w:rsid w:val="00C37CA8"/>
    <w:rsid w:val="00C37DED"/>
    <w:rsid w:val="00C40421"/>
    <w:rsid w:val="00C405F4"/>
    <w:rsid w:val="00C4060C"/>
    <w:rsid w:val="00C408B9"/>
    <w:rsid w:val="00C40CCC"/>
    <w:rsid w:val="00C40D41"/>
    <w:rsid w:val="00C40EA7"/>
    <w:rsid w:val="00C41091"/>
    <w:rsid w:val="00C41D47"/>
    <w:rsid w:val="00C41F65"/>
    <w:rsid w:val="00C42BB2"/>
    <w:rsid w:val="00C42E38"/>
    <w:rsid w:val="00C42F00"/>
    <w:rsid w:val="00C4322C"/>
    <w:rsid w:val="00C44165"/>
    <w:rsid w:val="00C44284"/>
    <w:rsid w:val="00C44535"/>
    <w:rsid w:val="00C44681"/>
    <w:rsid w:val="00C4496E"/>
    <w:rsid w:val="00C449DE"/>
    <w:rsid w:val="00C44DA5"/>
    <w:rsid w:val="00C45625"/>
    <w:rsid w:val="00C459A7"/>
    <w:rsid w:val="00C45FA4"/>
    <w:rsid w:val="00C4603A"/>
    <w:rsid w:val="00C46797"/>
    <w:rsid w:val="00C46856"/>
    <w:rsid w:val="00C47517"/>
    <w:rsid w:val="00C47693"/>
    <w:rsid w:val="00C476A7"/>
    <w:rsid w:val="00C4777D"/>
    <w:rsid w:val="00C4778B"/>
    <w:rsid w:val="00C47940"/>
    <w:rsid w:val="00C47D54"/>
    <w:rsid w:val="00C50EF4"/>
    <w:rsid w:val="00C51082"/>
    <w:rsid w:val="00C51793"/>
    <w:rsid w:val="00C51C04"/>
    <w:rsid w:val="00C53019"/>
    <w:rsid w:val="00C531C7"/>
    <w:rsid w:val="00C533DD"/>
    <w:rsid w:val="00C53A5C"/>
    <w:rsid w:val="00C53CF6"/>
    <w:rsid w:val="00C53F1C"/>
    <w:rsid w:val="00C54703"/>
    <w:rsid w:val="00C54918"/>
    <w:rsid w:val="00C54A70"/>
    <w:rsid w:val="00C54BFE"/>
    <w:rsid w:val="00C54E2A"/>
    <w:rsid w:val="00C5539D"/>
    <w:rsid w:val="00C555EF"/>
    <w:rsid w:val="00C565CB"/>
    <w:rsid w:val="00C5686E"/>
    <w:rsid w:val="00C56925"/>
    <w:rsid w:val="00C56C3E"/>
    <w:rsid w:val="00C56E20"/>
    <w:rsid w:val="00C57106"/>
    <w:rsid w:val="00C57FCD"/>
    <w:rsid w:val="00C6028F"/>
    <w:rsid w:val="00C602F5"/>
    <w:rsid w:val="00C60E61"/>
    <w:rsid w:val="00C60F7C"/>
    <w:rsid w:val="00C616C9"/>
    <w:rsid w:val="00C616E4"/>
    <w:rsid w:val="00C61965"/>
    <w:rsid w:val="00C61C77"/>
    <w:rsid w:val="00C6255A"/>
    <w:rsid w:val="00C63416"/>
    <w:rsid w:val="00C63556"/>
    <w:rsid w:val="00C637E3"/>
    <w:rsid w:val="00C64C36"/>
    <w:rsid w:val="00C65684"/>
    <w:rsid w:val="00C66261"/>
    <w:rsid w:val="00C66731"/>
    <w:rsid w:val="00C6680C"/>
    <w:rsid w:val="00C66C96"/>
    <w:rsid w:val="00C66E97"/>
    <w:rsid w:val="00C670D1"/>
    <w:rsid w:val="00C677AD"/>
    <w:rsid w:val="00C67DBF"/>
    <w:rsid w:val="00C67E9B"/>
    <w:rsid w:val="00C70832"/>
    <w:rsid w:val="00C710B2"/>
    <w:rsid w:val="00C712C5"/>
    <w:rsid w:val="00C72029"/>
    <w:rsid w:val="00C725AE"/>
    <w:rsid w:val="00C72979"/>
    <w:rsid w:val="00C72DE0"/>
    <w:rsid w:val="00C72E81"/>
    <w:rsid w:val="00C7335C"/>
    <w:rsid w:val="00C73506"/>
    <w:rsid w:val="00C742F5"/>
    <w:rsid w:val="00C74738"/>
    <w:rsid w:val="00C74B33"/>
    <w:rsid w:val="00C74C0F"/>
    <w:rsid w:val="00C74C2D"/>
    <w:rsid w:val="00C75048"/>
    <w:rsid w:val="00C75093"/>
    <w:rsid w:val="00C75C91"/>
    <w:rsid w:val="00C75D69"/>
    <w:rsid w:val="00C76BFE"/>
    <w:rsid w:val="00C77485"/>
    <w:rsid w:val="00C776FA"/>
    <w:rsid w:val="00C776FF"/>
    <w:rsid w:val="00C77BCC"/>
    <w:rsid w:val="00C77D98"/>
    <w:rsid w:val="00C80789"/>
    <w:rsid w:val="00C80D89"/>
    <w:rsid w:val="00C813E6"/>
    <w:rsid w:val="00C81BAC"/>
    <w:rsid w:val="00C81D0D"/>
    <w:rsid w:val="00C81F26"/>
    <w:rsid w:val="00C82BCC"/>
    <w:rsid w:val="00C82FB7"/>
    <w:rsid w:val="00C83477"/>
    <w:rsid w:val="00C834A4"/>
    <w:rsid w:val="00C83A63"/>
    <w:rsid w:val="00C83D59"/>
    <w:rsid w:val="00C8429B"/>
    <w:rsid w:val="00C84693"/>
    <w:rsid w:val="00C84BE5"/>
    <w:rsid w:val="00C851F1"/>
    <w:rsid w:val="00C85609"/>
    <w:rsid w:val="00C8603A"/>
    <w:rsid w:val="00C8735F"/>
    <w:rsid w:val="00C873B2"/>
    <w:rsid w:val="00C87402"/>
    <w:rsid w:val="00C87516"/>
    <w:rsid w:val="00C917B8"/>
    <w:rsid w:val="00C91BBF"/>
    <w:rsid w:val="00C926AB"/>
    <w:rsid w:val="00C92B0A"/>
    <w:rsid w:val="00C93804"/>
    <w:rsid w:val="00C93DB4"/>
    <w:rsid w:val="00C93F2C"/>
    <w:rsid w:val="00C94348"/>
    <w:rsid w:val="00C946D5"/>
    <w:rsid w:val="00C94956"/>
    <w:rsid w:val="00C952A6"/>
    <w:rsid w:val="00C95E25"/>
    <w:rsid w:val="00C95E31"/>
    <w:rsid w:val="00C969A0"/>
    <w:rsid w:val="00C96BBF"/>
    <w:rsid w:val="00C97506"/>
    <w:rsid w:val="00C97796"/>
    <w:rsid w:val="00C97FFE"/>
    <w:rsid w:val="00CA088C"/>
    <w:rsid w:val="00CA0BC5"/>
    <w:rsid w:val="00CA17C2"/>
    <w:rsid w:val="00CA1939"/>
    <w:rsid w:val="00CA1DA2"/>
    <w:rsid w:val="00CA20C3"/>
    <w:rsid w:val="00CA3253"/>
    <w:rsid w:val="00CA354F"/>
    <w:rsid w:val="00CA3C83"/>
    <w:rsid w:val="00CA3F3A"/>
    <w:rsid w:val="00CA4395"/>
    <w:rsid w:val="00CA466E"/>
    <w:rsid w:val="00CA4B76"/>
    <w:rsid w:val="00CA57C9"/>
    <w:rsid w:val="00CA6441"/>
    <w:rsid w:val="00CA6452"/>
    <w:rsid w:val="00CA7E55"/>
    <w:rsid w:val="00CB0913"/>
    <w:rsid w:val="00CB0F10"/>
    <w:rsid w:val="00CB0F9A"/>
    <w:rsid w:val="00CB114D"/>
    <w:rsid w:val="00CB13BF"/>
    <w:rsid w:val="00CB1833"/>
    <w:rsid w:val="00CB1CA5"/>
    <w:rsid w:val="00CB1F5F"/>
    <w:rsid w:val="00CB25F3"/>
    <w:rsid w:val="00CB29B9"/>
    <w:rsid w:val="00CB3194"/>
    <w:rsid w:val="00CB321E"/>
    <w:rsid w:val="00CB36F5"/>
    <w:rsid w:val="00CB3750"/>
    <w:rsid w:val="00CB3782"/>
    <w:rsid w:val="00CB3D83"/>
    <w:rsid w:val="00CB3F1B"/>
    <w:rsid w:val="00CB4529"/>
    <w:rsid w:val="00CB48F1"/>
    <w:rsid w:val="00CB4D3F"/>
    <w:rsid w:val="00CB4D91"/>
    <w:rsid w:val="00CB59AA"/>
    <w:rsid w:val="00CB600E"/>
    <w:rsid w:val="00CB6357"/>
    <w:rsid w:val="00CB68DA"/>
    <w:rsid w:val="00CB6C88"/>
    <w:rsid w:val="00CB78BD"/>
    <w:rsid w:val="00CB78D6"/>
    <w:rsid w:val="00CB7F3A"/>
    <w:rsid w:val="00CC01EC"/>
    <w:rsid w:val="00CC0559"/>
    <w:rsid w:val="00CC073F"/>
    <w:rsid w:val="00CC0B11"/>
    <w:rsid w:val="00CC0DD7"/>
    <w:rsid w:val="00CC116D"/>
    <w:rsid w:val="00CC14EB"/>
    <w:rsid w:val="00CC1AF3"/>
    <w:rsid w:val="00CC1D88"/>
    <w:rsid w:val="00CC2161"/>
    <w:rsid w:val="00CC21ED"/>
    <w:rsid w:val="00CC22A3"/>
    <w:rsid w:val="00CC22F6"/>
    <w:rsid w:val="00CC3051"/>
    <w:rsid w:val="00CC34D0"/>
    <w:rsid w:val="00CC3708"/>
    <w:rsid w:val="00CC3BB6"/>
    <w:rsid w:val="00CC4050"/>
    <w:rsid w:val="00CC4BCE"/>
    <w:rsid w:val="00CC4CFB"/>
    <w:rsid w:val="00CC5B56"/>
    <w:rsid w:val="00CC62E4"/>
    <w:rsid w:val="00CC6E50"/>
    <w:rsid w:val="00CC6E69"/>
    <w:rsid w:val="00CC7227"/>
    <w:rsid w:val="00CD06E5"/>
    <w:rsid w:val="00CD08CD"/>
    <w:rsid w:val="00CD0D10"/>
    <w:rsid w:val="00CD0E0A"/>
    <w:rsid w:val="00CD0EF5"/>
    <w:rsid w:val="00CD1D29"/>
    <w:rsid w:val="00CD1E1C"/>
    <w:rsid w:val="00CD1E69"/>
    <w:rsid w:val="00CD27DE"/>
    <w:rsid w:val="00CD28C2"/>
    <w:rsid w:val="00CD2AAA"/>
    <w:rsid w:val="00CD33E1"/>
    <w:rsid w:val="00CD3849"/>
    <w:rsid w:val="00CD39F5"/>
    <w:rsid w:val="00CD3CF7"/>
    <w:rsid w:val="00CD3F0B"/>
    <w:rsid w:val="00CD41FF"/>
    <w:rsid w:val="00CD5682"/>
    <w:rsid w:val="00CD5711"/>
    <w:rsid w:val="00CD605D"/>
    <w:rsid w:val="00CD6689"/>
    <w:rsid w:val="00CD737D"/>
    <w:rsid w:val="00CD7649"/>
    <w:rsid w:val="00CD7BDB"/>
    <w:rsid w:val="00CE0374"/>
    <w:rsid w:val="00CE065E"/>
    <w:rsid w:val="00CE08BA"/>
    <w:rsid w:val="00CE158F"/>
    <w:rsid w:val="00CE1868"/>
    <w:rsid w:val="00CE236A"/>
    <w:rsid w:val="00CE26BB"/>
    <w:rsid w:val="00CE2B35"/>
    <w:rsid w:val="00CE2B9A"/>
    <w:rsid w:val="00CE3690"/>
    <w:rsid w:val="00CE4ADC"/>
    <w:rsid w:val="00CE4BA9"/>
    <w:rsid w:val="00CE4C6A"/>
    <w:rsid w:val="00CE4E5B"/>
    <w:rsid w:val="00CE5056"/>
    <w:rsid w:val="00CE5088"/>
    <w:rsid w:val="00CE61BE"/>
    <w:rsid w:val="00CE6406"/>
    <w:rsid w:val="00CE670E"/>
    <w:rsid w:val="00CE68F6"/>
    <w:rsid w:val="00CE7196"/>
    <w:rsid w:val="00CE72DA"/>
    <w:rsid w:val="00CE74FA"/>
    <w:rsid w:val="00CF00BD"/>
    <w:rsid w:val="00CF0899"/>
    <w:rsid w:val="00CF0B7B"/>
    <w:rsid w:val="00CF11B8"/>
    <w:rsid w:val="00CF11D4"/>
    <w:rsid w:val="00CF132E"/>
    <w:rsid w:val="00CF16EC"/>
    <w:rsid w:val="00CF1A3F"/>
    <w:rsid w:val="00CF1AF8"/>
    <w:rsid w:val="00CF1B56"/>
    <w:rsid w:val="00CF1E96"/>
    <w:rsid w:val="00CF229F"/>
    <w:rsid w:val="00CF2A3A"/>
    <w:rsid w:val="00CF332C"/>
    <w:rsid w:val="00CF33B8"/>
    <w:rsid w:val="00CF33D0"/>
    <w:rsid w:val="00CF3493"/>
    <w:rsid w:val="00CF3782"/>
    <w:rsid w:val="00CF37DA"/>
    <w:rsid w:val="00CF3F1B"/>
    <w:rsid w:val="00CF4006"/>
    <w:rsid w:val="00CF41B5"/>
    <w:rsid w:val="00CF4338"/>
    <w:rsid w:val="00CF43F5"/>
    <w:rsid w:val="00CF4C85"/>
    <w:rsid w:val="00CF5A23"/>
    <w:rsid w:val="00CF66D0"/>
    <w:rsid w:val="00CF6BA0"/>
    <w:rsid w:val="00CF6EDE"/>
    <w:rsid w:val="00CF7303"/>
    <w:rsid w:val="00CF74E6"/>
    <w:rsid w:val="00D00540"/>
    <w:rsid w:val="00D0091F"/>
    <w:rsid w:val="00D00C6F"/>
    <w:rsid w:val="00D010A0"/>
    <w:rsid w:val="00D01558"/>
    <w:rsid w:val="00D015EC"/>
    <w:rsid w:val="00D01AE6"/>
    <w:rsid w:val="00D01C8C"/>
    <w:rsid w:val="00D01D2E"/>
    <w:rsid w:val="00D023B1"/>
    <w:rsid w:val="00D025F2"/>
    <w:rsid w:val="00D02812"/>
    <w:rsid w:val="00D02905"/>
    <w:rsid w:val="00D02950"/>
    <w:rsid w:val="00D02E06"/>
    <w:rsid w:val="00D03182"/>
    <w:rsid w:val="00D036FB"/>
    <w:rsid w:val="00D03819"/>
    <w:rsid w:val="00D039C3"/>
    <w:rsid w:val="00D03B0D"/>
    <w:rsid w:val="00D03EBB"/>
    <w:rsid w:val="00D0422F"/>
    <w:rsid w:val="00D042A4"/>
    <w:rsid w:val="00D04620"/>
    <w:rsid w:val="00D04A78"/>
    <w:rsid w:val="00D04EBE"/>
    <w:rsid w:val="00D05032"/>
    <w:rsid w:val="00D051C6"/>
    <w:rsid w:val="00D05BBC"/>
    <w:rsid w:val="00D05D19"/>
    <w:rsid w:val="00D05F93"/>
    <w:rsid w:val="00D05FAB"/>
    <w:rsid w:val="00D0667E"/>
    <w:rsid w:val="00D06B0A"/>
    <w:rsid w:val="00D0760B"/>
    <w:rsid w:val="00D07854"/>
    <w:rsid w:val="00D07D01"/>
    <w:rsid w:val="00D100A7"/>
    <w:rsid w:val="00D103CC"/>
    <w:rsid w:val="00D105C3"/>
    <w:rsid w:val="00D10747"/>
    <w:rsid w:val="00D107AF"/>
    <w:rsid w:val="00D12666"/>
    <w:rsid w:val="00D1282D"/>
    <w:rsid w:val="00D135DA"/>
    <w:rsid w:val="00D1380E"/>
    <w:rsid w:val="00D13920"/>
    <w:rsid w:val="00D14076"/>
    <w:rsid w:val="00D14546"/>
    <w:rsid w:val="00D147CB"/>
    <w:rsid w:val="00D14B18"/>
    <w:rsid w:val="00D14B32"/>
    <w:rsid w:val="00D14FCF"/>
    <w:rsid w:val="00D1555F"/>
    <w:rsid w:val="00D15641"/>
    <w:rsid w:val="00D158F4"/>
    <w:rsid w:val="00D15B7F"/>
    <w:rsid w:val="00D163E7"/>
    <w:rsid w:val="00D165D4"/>
    <w:rsid w:val="00D1683F"/>
    <w:rsid w:val="00D16969"/>
    <w:rsid w:val="00D16E56"/>
    <w:rsid w:val="00D170DE"/>
    <w:rsid w:val="00D17983"/>
    <w:rsid w:val="00D202A0"/>
    <w:rsid w:val="00D2044A"/>
    <w:rsid w:val="00D2046F"/>
    <w:rsid w:val="00D20BB7"/>
    <w:rsid w:val="00D20D53"/>
    <w:rsid w:val="00D212F3"/>
    <w:rsid w:val="00D21463"/>
    <w:rsid w:val="00D214FB"/>
    <w:rsid w:val="00D21853"/>
    <w:rsid w:val="00D218BC"/>
    <w:rsid w:val="00D2269D"/>
    <w:rsid w:val="00D228B3"/>
    <w:rsid w:val="00D228FA"/>
    <w:rsid w:val="00D229D3"/>
    <w:rsid w:val="00D22A5F"/>
    <w:rsid w:val="00D22DE8"/>
    <w:rsid w:val="00D22DF2"/>
    <w:rsid w:val="00D231BD"/>
    <w:rsid w:val="00D23546"/>
    <w:rsid w:val="00D236EA"/>
    <w:rsid w:val="00D23A47"/>
    <w:rsid w:val="00D23B68"/>
    <w:rsid w:val="00D242E3"/>
    <w:rsid w:val="00D24A4A"/>
    <w:rsid w:val="00D25B63"/>
    <w:rsid w:val="00D25D4D"/>
    <w:rsid w:val="00D25DD8"/>
    <w:rsid w:val="00D2688F"/>
    <w:rsid w:val="00D26FBD"/>
    <w:rsid w:val="00D27F95"/>
    <w:rsid w:val="00D30C7F"/>
    <w:rsid w:val="00D3134A"/>
    <w:rsid w:val="00D31378"/>
    <w:rsid w:val="00D322E3"/>
    <w:rsid w:val="00D326B0"/>
    <w:rsid w:val="00D32C62"/>
    <w:rsid w:val="00D341C2"/>
    <w:rsid w:val="00D341DD"/>
    <w:rsid w:val="00D35403"/>
    <w:rsid w:val="00D35420"/>
    <w:rsid w:val="00D36873"/>
    <w:rsid w:val="00D36C48"/>
    <w:rsid w:val="00D36C96"/>
    <w:rsid w:val="00D373C8"/>
    <w:rsid w:val="00D3778F"/>
    <w:rsid w:val="00D40244"/>
    <w:rsid w:val="00D40E16"/>
    <w:rsid w:val="00D4103C"/>
    <w:rsid w:val="00D41706"/>
    <w:rsid w:val="00D41B7C"/>
    <w:rsid w:val="00D41FA3"/>
    <w:rsid w:val="00D4216F"/>
    <w:rsid w:val="00D427F4"/>
    <w:rsid w:val="00D42E55"/>
    <w:rsid w:val="00D43E83"/>
    <w:rsid w:val="00D442BB"/>
    <w:rsid w:val="00D445B2"/>
    <w:rsid w:val="00D445B9"/>
    <w:rsid w:val="00D44B3D"/>
    <w:rsid w:val="00D44B8E"/>
    <w:rsid w:val="00D454CF"/>
    <w:rsid w:val="00D454F0"/>
    <w:rsid w:val="00D45821"/>
    <w:rsid w:val="00D45C99"/>
    <w:rsid w:val="00D46378"/>
    <w:rsid w:val="00D47217"/>
    <w:rsid w:val="00D473F0"/>
    <w:rsid w:val="00D47789"/>
    <w:rsid w:val="00D479AD"/>
    <w:rsid w:val="00D47A55"/>
    <w:rsid w:val="00D47C99"/>
    <w:rsid w:val="00D47F46"/>
    <w:rsid w:val="00D504A4"/>
    <w:rsid w:val="00D50518"/>
    <w:rsid w:val="00D50647"/>
    <w:rsid w:val="00D50691"/>
    <w:rsid w:val="00D5074F"/>
    <w:rsid w:val="00D507A9"/>
    <w:rsid w:val="00D511A3"/>
    <w:rsid w:val="00D51280"/>
    <w:rsid w:val="00D516B4"/>
    <w:rsid w:val="00D5260B"/>
    <w:rsid w:val="00D526A9"/>
    <w:rsid w:val="00D52E42"/>
    <w:rsid w:val="00D5317C"/>
    <w:rsid w:val="00D542E4"/>
    <w:rsid w:val="00D55382"/>
    <w:rsid w:val="00D553A1"/>
    <w:rsid w:val="00D55A9B"/>
    <w:rsid w:val="00D55B58"/>
    <w:rsid w:val="00D55CC8"/>
    <w:rsid w:val="00D562B6"/>
    <w:rsid w:val="00D564C6"/>
    <w:rsid w:val="00D565FD"/>
    <w:rsid w:val="00D56DBC"/>
    <w:rsid w:val="00D57887"/>
    <w:rsid w:val="00D57E4D"/>
    <w:rsid w:val="00D6007C"/>
    <w:rsid w:val="00D6058B"/>
    <w:rsid w:val="00D60748"/>
    <w:rsid w:val="00D607A1"/>
    <w:rsid w:val="00D6081B"/>
    <w:rsid w:val="00D60D4C"/>
    <w:rsid w:val="00D60E7A"/>
    <w:rsid w:val="00D61660"/>
    <w:rsid w:val="00D62A01"/>
    <w:rsid w:val="00D63480"/>
    <w:rsid w:val="00D63916"/>
    <w:rsid w:val="00D63D45"/>
    <w:rsid w:val="00D63EB8"/>
    <w:rsid w:val="00D63F8F"/>
    <w:rsid w:val="00D641A6"/>
    <w:rsid w:val="00D647D9"/>
    <w:rsid w:val="00D64B97"/>
    <w:rsid w:val="00D64BDF"/>
    <w:rsid w:val="00D64D11"/>
    <w:rsid w:val="00D64F47"/>
    <w:rsid w:val="00D65300"/>
    <w:rsid w:val="00D65F0C"/>
    <w:rsid w:val="00D665B9"/>
    <w:rsid w:val="00D66BE9"/>
    <w:rsid w:val="00D66F82"/>
    <w:rsid w:val="00D678E2"/>
    <w:rsid w:val="00D67CB2"/>
    <w:rsid w:val="00D70032"/>
    <w:rsid w:val="00D709D5"/>
    <w:rsid w:val="00D71D3B"/>
    <w:rsid w:val="00D7202B"/>
    <w:rsid w:val="00D721D2"/>
    <w:rsid w:val="00D72496"/>
    <w:rsid w:val="00D725A1"/>
    <w:rsid w:val="00D72C92"/>
    <w:rsid w:val="00D7344D"/>
    <w:rsid w:val="00D73751"/>
    <w:rsid w:val="00D73970"/>
    <w:rsid w:val="00D73ADE"/>
    <w:rsid w:val="00D73BB6"/>
    <w:rsid w:val="00D73D61"/>
    <w:rsid w:val="00D73EB1"/>
    <w:rsid w:val="00D74671"/>
    <w:rsid w:val="00D74B6F"/>
    <w:rsid w:val="00D74BE8"/>
    <w:rsid w:val="00D753D7"/>
    <w:rsid w:val="00D75A68"/>
    <w:rsid w:val="00D75D7C"/>
    <w:rsid w:val="00D75D7F"/>
    <w:rsid w:val="00D776BE"/>
    <w:rsid w:val="00D77C4A"/>
    <w:rsid w:val="00D8049A"/>
    <w:rsid w:val="00D804E4"/>
    <w:rsid w:val="00D80C8B"/>
    <w:rsid w:val="00D80E44"/>
    <w:rsid w:val="00D811A6"/>
    <w:rsid w:val="00D811D3"/>
    <w:rsid w:val="00D814B9"/>
    <w:rsid w:val="00D81DDA"/>
    <w:rsid w:val="00D82010"/>
    <w:rsid w:val="00D82335"/>
    <w:rsid w:val="00D82F8A"/>
    <w:rsid w:val="00D82F95"/>
    <w:rsid w:val="00D83266"/>
    <w:rsid w:val="00D83394"/>
    <w:rsid w:val="00D84D61"/>
    <w:rsid w:val="00D84E2D"/>
    <w:rsid w:val="00D84E6A"/>
    <w:rsid w:val="00D852F8"/>
    <w:rsid w:val="00D859AC"/>
    <w:rsid w:val="00D85F23"/>
    <w:rsid w:val="00D86767"/>
    <w:rsid w:val="00D86792"/>
    <w:rsid w:val="00D867EE"/>
    <w:rsid w:val="00D86B09"/>
    <w:rsid w:val="00D87302"/>
    <w:rsid w:val="00D87398"/>
    <w:rsid w:val="00D9058B"/>
    <w:rsid w:val="00D905B9"/>
    <w:rsid w:val="00D915A0"/>
    <w:rsid w:val="00D91BE5"/>
    <w:rsid w:val="00D91CAB"/>
    <w:rsid w:val="00D91FE6"/>
    <w:rsid w:val="00D92EEE"/>
    <w:rsid w:val="00D92F8E"/>
    <w:rsid w:val="00D93F5F"/>
    <w:rsid w:val="00D941CC"/>
    <w:rsid w:val="00D947F6"/>
    <w:rsid w:val="00D9541A"/>
    <w:rsid w:val="00D95483"/>
    <w:rsid w:val="00D954C4"/>
    <w:rsid w:val="00D95AA5"/>
    <w:rsid w:val="00D9622B"/>
    <w:rsid w:val="00D96403"/>
    <w:rsid w:val="00D965C7"/>
    <w:rsid w:val="00D968B5"/>
    <w:rsid w:val="00D96FB1"/>
    <w:rsid w:val="00D9723D"/>
    <w:rsid w:val="00D97C50"/>
    <w:rsid w:val="00DA02DE"/>
    <w:rsid w:val="00DA04A5"/>
    <w:rsid w:val="00DA1490"/>
    <w:rsid w:val="00DA18C5"/>
    <w:rsid w:val="00DA1C7A"/>
    <w:rsid w:val="00DA23A4"/>
    <w:rsid w:val="00DA336C"/>
    <w:rsid w:val="00DA3378"/>
    <w:rsid w:val="00DA344D"/>
    <w:rsid w:val="00DA3666"/>
    <w:rsid w:val="00DA3B85"/>
    <w:rsid w:val="00DA3FE2"/>
    <w:rsid w:val="00DA4C9B"/>
    <w:rsid w:val="00DA4CBC"/>
    <w:rsid w:val="00DA51B6"/>
    <w:rsid w:val="00DA5500"/>
    <w:rsid w:val="00DA5DA7"/>
    <w:rsid w:val="00DA6032"/>
    <w:rsid w:val="00DA6356"/>
    <w:rsid w:val="00DA692C"/>
    <w:rsid w:val="00DA71A8"/>
    <w:rsid w:val="00DA74AF"/>
    <w:rsid w:val="00DA7D94"/>
    <w:rsid w:val="00DB0636"/>
    <w:rsid w:val="00DB06C6"/>
    <w:rsid w:val="00DB0D08"/>
    <w:rsid w:val="00DB10A2"/>
    <w:rsid w:val="00DB1315"/>
    <w:rsid w:val="00DB27E2"/>
    <w:rsid w:val="00DB2945"/>
    <w:rsid w:val="00DB2D3C"/>
    <w:rsid w:val="00DB30B1"/>
    <w:rsid w:val="00DB3442"/>
    <w:rsid w:val="00DB3E19"/>
    <w:rsid w:val="00DB4213"/>
    <w:rsid w:val="00DB4821"/>
    <w:rsid w:val="00DB4ABC"/>
    <w:rsid w:val="00DB5410"/>
    <w:rsid w:val="00DB586E"/>
    <w:rsid w:val="00DB6502"/>
    <w:rsid w:val="00DB664C"/>
    <w:rsid w:val="00DB6662"/>
    <w:rsid w:val="00DB6F1B"/>
    <w:rsid w:val="00DB7630"/>
    <w:rsid w:val="00DB7C2E"/>
    <w:rsid w:val="00DB7D62"/>
    <w:rsid w:val="00DC0945"/>
    <w:rsid w:val="00DC1063"/>
    <w:rsid w:val="00DC154B"/>
    <w:rsid w:val="00DC1C9E"/>
    <w:rsid w:val="00DC242A"/>
    <w:rsid w:val="00DC2E7F"/>
    <w:rsid w:val="00DC34A5"/>
    <w:rsid w:val="00DC3C28"/>
    <w:rsid w:val="00DC3E94"/>
    <w:rsid w:val="00DC4694"/>
    <w:rsid w:val="00DC4808"/>
    <w:rsid w:val="00DC4AF8"/>
    <w:rsid w:val="00DC5323"/>
    <w:rsid w:val="00DC5673"/>
    <w:rsid w:val="00DC5732"/>
    <w:rsid w:val="00DC580C"/>
    <w:rsid w:val="00DC602C"/>
    <w:rsid w:val="00DC6FEE"/>
    <w:rsid w:val="00DC7AC2"/>
    <w:rsid w:val="00DC7ADD"/>
    <w:rsid w:val="00DC7DA3"/>
    <w:rsid w:val="00DD059B"/>
    <w:rsid w:val="00DD05A6"/>
    <w:rsid w:val="00DD0A4B"/>
    <w:rsid w:val="00DD0AD7"/>
    <w:rsid w:val="00DD0E3E"/>
    <w:rsid w:val="00DD0F7E"/>
    <w:rsid w:val="00DD17AF"/>
    <w:rsid w:val="00DD1BE2"/>
    <w:rsid w:val="00DD245B"/>
    <w:rsid w:val="00DD25A8"/>
    <w:rsid w:val="00DD2702"/>
    <w:rsid w:val="00DD2995"/>
    <w:rsid w:val="00DD33B4"/>
    <w:rsid w:val="00DD3A4B"/>
    <w:rsid w:val="00DD3C1F"/>
    <w:rsid w:val="00DD3D5C"/>
    <w:rsid w:val="00DD4956"/>
    <w:rsid w:val="00DD4A95"/>
    <w:rsid w:val="00DD4E97"/>
    <w:rsid w:val="00DD590F"/>
    <w:rsid w:val="00DD60B5"/>
    <w:rsid w:val="00DD6198"/>
    <w:rsid w:val="00DD65C1"/>
    <w:rsid w:val="00DD6A28"/>
    <w:rsid w:val="00DD6BD7"/>
    <w:rsid w:val="00DD6F51"/>
    <w:rsid w:val="00DD731E"/>
    <w:rsid w:val="00DD7676"/>
    <w:rsid w:val="00DD7CC3"/>
    <w:rsid w:val="00DD7E9E"/>
    <w:rsid w:val="00DD7FA8"/>
    <w:rsid w:val="00DE0F23"/>
    <w:rsid w:val="00DE0FE0"/>
    <w:rsid w:val="00DE138F"/>
    <w:rsid w:val="00DE1997"/>
    <w:rsid w:val="00DE1CE8"/>
    <w:rsid w:val="00DE21E2"/>
    <w:rsid w:val="00DE230B"/>
    <w:rsid w:val="00DE2435"/>
    <w:rsid w:val="00DE24DC"/>
    <w:rsid w:val="00DE2AE5"/>
    <w:rsid w:val="00DE30FB"/>
    <w:rsid w:val="00DE3212"/>
    <w:rsid w:val="00DE3412"/>
    <w:rsid w:val="00DE357A"/>
    <w:rsid w:val="00DE3836"/>
    <w:rsid w:val="00DE39FF"/>
    <w:rsid w:val="00DE3BED"/>
    <w:rsid w:val="00DE3E65"/>
    <w:rsid w:val="00DE3F60"/>
    <w:rsid w:val="00DE402E"/>
    <w:rsid w:val="00DE4037"/>
    <w:rsid w:val="00DE4155"/>
    <w:rsid w:val="00DE435B"/>
    <w:rsid w:val="00DE5182"/>
    <w:rsid w:val="00DE5752"/>
    <w:rsid w:val="00DE5953"/>
    <w:rsid w:val="00DE5A83"/>
    <w:rsid w:val="00DE627C"/>
    <w:rsid w:val="00DE67AC"/>
    <w:rsid w:val="00DE67E4"/>
    <w:rsid w:val="00DE7383"/>
    <w:rsid w:val="00DE7414"/>
    <w:rsid w:val="00DE7D79"/>
    <w:rsid w:val="00DE7E2F"/>
    <w:rsid w:val="00DF0288"/>
    <w:rsid w:val="00DF03A3"/>
    <w:rsid w:val="00DF09A8"/>
    <w:rsid w:val="00DF0F26"/>
    <w:rsid w:val="00DF2442"/>
    <w:rsid w:val="00DF2E15"/>
    <w:rsid w:val="00DF39D7"/>
    <w:rsid w:val="00DF3A74"/>
    <w:rsid w:val="00DF443C"/>
    <w:rsid w:val="00DF4DFD"/>
    <w:rsid w:val="00DF559B"/>
    <w:rsid w:val="00DF5A90"/>
    <w:rsid w:val="00DF5AC3"/>
    <w:rsid w:val="00DF5C3A"/>
    <w:rsid w:val="00DF5E02"/>
    <w:rsid w:val="00DF6698"/>
    <w:rsid w:val="00DF72B6"/>
    <w:rsid w:val="00DF783D"/>
    <w:rsid w:val="00DF7944"/>
    <w:rsid w:val="00DF7A63"/>
    <w:rsid w:val="00DF7B26"/>
    <w:rsid w:val="00DF7B72"/>
    <w:rsid w:val="00DF7E02"/>
    <w:rsid w:val="00DF7F65"/>
    <w:rsid w:val="00E00681"/>
    <w:rsid w:val="00E00768"/>
    <w:rsid w:val="00E009AB"/>
    <w:rsid w:val="00E00D23"/>
    <w:rsid w:val="00E00DF6"/>
    <w:rsid w:val="00E012A9"/>
    <w:rsid w:val="00E020A3"/>
    <w:rsid w:val="00E02629"/>
    <w:rsid w:val="00E02D26"/>
    <w:rsid w:val="00E0312B"/>
    <w:rsid w:val="00E03387"/>
    <w:rsid w:val="00E0349C"/>
    <w:rsid w:val="00E0476B"/>
    <w:rsid w:val="00E04BA5"/>
    <w:rsid w:val="00E04BE9"/>
    <w:rsid w:val="00E050A7"/>
    <w:rsid w:val="00E051ED"/>
    <w:rsid w:val="00E0579F"/>
    <w:rsid w:val="00E05D14"/>
    <w:rsid w:val="00E06380"/>
    <w:rsid w:val="00E06583"/>
    <w:rsid w:val="00E06AAB"/>
    <w:rsid w:val="00E06AE5"/>
    <w:rsid w:val="00E06AFA"/>
    <w:rsid w:val="00E06B92"/>
    <w:rsid w:val="00E0716A"/>
    <w:rsid w:val="00E07229"/>
    <w:rsid w:val="00E0729B"/>
    <w:rsid w:val="00E0751E"/>
    <w:rsid w:val="00E07638"/>
    <w:rsid w:val="00E07842"/>
    <w:rsid w:val="00E07EB6"/>
    <w:rsid w:val="00E07F8E"/>
    <w:rsid w:val="00E10563"/>
    <w:rsid w:val="00E106D3"/>
    <w:rsid w:val="00E10973"/>
    <w:rsid w:val="00E1186B"/>
    <w:rsid w:val="00E11B44"/>
    <w:rsid w:val="00E11B96"/>
    <w:rsid w:val="00E11C78"/>
    <w:rsid w:val="00E12117"/>
    <w:rsid w:val="00E124D6"/>
    <w:rsid w:val="00E1294A"/>
    <w:rsid w:val="00E12E77"/>
    <w:rsid w:val="00E133A1"/>
    <w:rsid w:val="00E136CC"/>
    <w:rsid w:val="00E13817"/>
    <w:rsid w:val="00E13FCE"/>
    <w:rsid w:val="00E1409A"/>
    <w:rsid w:val="00E140E4"/>
    <w:rsid w:val="00E14189"/>
    <w:rsid w:val="00E14D65"/>
    <w:rsid w:val="00E1506B"/>
    <w:rsid w:val="00E15713"/>
    <w:rsid w:val="00E15AA0"/>
    <w:rsid w:val="00E15DE3"/>
    <w:rsid w:val="00E16154"/>
    <w:rsid w:val="00E16727"/>
    <w:rsid w:val="00E16CDE"/>
    <w:rsid w:val="00E170D8"/>
    <w:rsid w:val="00E17B2A"/>
    <w:rsid w:val="00E17CD3"/>
    <w:rsid w:val="00E20354"/>
    <w:rsid w:val="00E20386"/>
    <w:rsid w:val="00E20520"/>
    <w:rsid w:val="00E2145B"/>
    <w:rsid w:val="00E217E3"/>
    <w:rsid w:val="00E21991"/>
    <w:rsid w:val="00E22A21"/>
    <w:rsid w:val="00E22AA9"/>
    <w:rsid w:val="00E22BF7"/>
    <w:rsid w:val="00E23282"/>
    <w:rsid w:val="00E23BEA"/>
    <w:rsid w:val="00E240AD"/>
    <w:rsid w:val="00E24538"/>
    <w:rsid w:val="00E24711"/>
    <w:rsid w:val="00E24943"/>
    <w:rsid w:val="00E24D7B"/>
    <w:rsid w:val="00E24EFD"/>
    <w:rsid w:val="00E25015"/>
    <w:rsid w:val="00E25241"/>
    <w:rsid w:val="00E2526B"/>
    <w:rsid w:val="00E255AE"/>
    <w:rsid w:val="00E2644B"/>
    <w:rsid w:val="00E26698"/>
    <w:rsid w:val="00E27854"/>
    <w:rsid w:val="00E279F5"/>
    <w:rsid w:val="00E302CD"/>
    <w:rsid w:val="00E30355"/>
    <w:rsid w:val="00E304B5"/>
    <w:rsid w:val="00E3074E"/>
    <w:rsid w:val="00E30BFA"/>
    <w:rsid w:val="00E31AD4"/>
    <w:rsid w:val="00E31D8E"/>
    <w:rsid w:val="00E31DC4"/>
    <w:rsid w:val="00E31ECC"/>
    <w:rsid w:val="00E32DBA"/>
    <w:rsid w:val="00E32F95"/>
    <w:rsid w:val="00E3314E"/>
    <w:rsid w:val="00E33A03"/>
    <w:rsid w:val="00E33FC4"/>
    <w:rsid w:val="00E3577E"/>
    <w:rsid w:val="00E36168"/>
    <w:rsid w:val="00E369D2"/>
    <w:rsid w:val="00E36F7F"/>
    <w:rsid w:val="00E37398"/>
    <w:rsid w:val="00E373B9"/>
    <w:rsid w:val="00E37605"/>
    <w:rsid w:val="00E40EF0"/>
    <w:rsid w:val="00E4100C"/>
    <w:rsid w:val="00E411E2"/>
    <w:rsid w:val="00E41307"/>
    <w:rsid w:val="00E413DC"/>
    <w:rsid w:val="00E414F2"/>
    <w:rsid w:val="00E41F2D"/>
    <w:rsid w:val="00E420E7"/>
    <w:rsid w:val="00E4300C"/>
    <w:rsid w:val="00E431A0"/>
    <w:rsid w:val="00E4347B"/>
    <w:rsid w:val="00E43558"/>
    <w:rsid w:val="00E438B7"/>
    <w:rsid w:val="00E43C2E"/>
    <w:rsid w:val="00E43FAC"/>
    <w:rsid w:val="00E44116"/>
    <w:rsid w:val="00E44C8A"/>
    <w:rsid w:val="00E45265"/>
    <w:rsid w:val="00E45707"/>
    <w:rsid w:val="00E457C7"/>
    <w:rsid w:val="00E45826"/>
    <w:rsid w:val="00E45A32"/>
    <w:rsid w:val="00E45FA4"/>
    <w:rsid w:val="00E46559"/>
    <w:rsid w:val="00E46A2E"/>
    <w:rsid w:val="00E46DBA"/>
    <w:rsid w:val="00E4733E"/>
    <w:rsid w:val="00E473B9"/>
    <w:rsid w:val="00E47B91"/>
    <w:rsid w:val="00E47C1E"/>
    <w:rsid w:val="00E503DE"/>
    <w:rsid w:val="00E5043E"/>
    <w:rsid w:val="00E5070F"/>
    <w:rsid w:val="00E509C4"/>
    <w:rsid w:val="00E51F43"/>
    <w:rsid w:val="00E52075"/>
    <w:rsid w:val="00E52366"/>
    <w:rsid w:val="00E524BD"/>
    <w:rsid w:val="00E528BB"/>
    <w:rsid w:val="00E52D3A"/>
    <w:rsid w:val="00E52DC1"/>
    <w:rsid w:val="00E52FE3"/>
    <w:rsid w:val="00E53086"/>
    <w:rsid w:val="00E53273"/>
    <w:rsid w:val="00E532A1"/>
    <w:rsid w:val="00E53996"/>
    <w:rsid w:val="00E551E3"/>
    <w:rsid w:val="00E5520F"/>
    <w:rsid w:val="00E55378"/>
    <w:rsid w:val="00E55960"/>
    <w:rsid w:val="00E56641"/>
    <w:rsid w:val="00E56743"/>
    <w:rsid w:val="00E5687E"/>
    <w:rsid w:val="00E570FF"/>
    <w:rsid w:val="00E57E38"/>
    <w:rsid w:val="00E57E53"/>
    <w:rsid w:val="00E619A8"/>
    <w:rsid w:val="00E62EEF"/>
    <w:rsid w:val="00E63BAF"/>
    <w:rsid w:val="00E6405F"/>
    <w:rsid w:val="00E64386"/>
    <w:rsid w:val="00E6491E"/>
    <w:rsid w:val="00E65071"/>
    <w:rsid w:val="00E6579B"/>
    <w:rsid w:val="00E658F3"/>
    <w:rsid w:val="00E65C9B"/>
    <w:rsid w:val="00E66A88"/>
    <w:rsid w:val="00E6748B"/>
    <w:rsid w:val="00E67B37"/>
    <w:rsid w:val="00E67CA0"/>
    <w:rsid w:val="00E67EEC"/>
    <w:rsid w:val="00E7107A"/>
    <w:rsid w:val="00E7129A"/>
    <w:rsid w:val="00E71826"/>
    <w:rsid w:val="00E71C67"/>
    <w:rsid w:val="00E72481"/>
    <w:rsid w:val="00E72CAD"/>
    <w:rsid w:val="00E737E9"/>
    <w:rsid w:val="00E742C4"/>
    <w:rsid w:val="00E743C8"/>
    <w:rsid w:val="00E7447B"/>
    <w:rsid w:val="00E74EC1"/>
    <w:rsid w:val="00E75149"/>
    <w:rsid w:val="00E753ED"/>
    <w:rsid w:val="00E75ABC"/>
    <w:rsid w:val="00E75F2B"/>
    <w:rsid w:val="00E763E6"/>
    <w:rsid w:val="00E76423"/>
    <w:rsid w:val="00E7644B"/>
    <w:rsid w:val="00E766E0"/>
    <w:rsid w:val="00E76906"/>
    <w:rsid w:val="00E7708C"/>
    <w:rsid w:val="00E772D2"/>
    <w:rsid w:val="00E77DF8"/>
    <w:rsid w:val="00E80292"/>
    <w:rsid w:val="00E80670"/>
    <w:rsid w:val="00E808C6"/>
    <w:rsid w:val="00E80A8C"/>
    <w:rsid w:val="00E81416"/>
    <w:rsid w:val="00E816A7"/>
    <w:rsid w:val="00E81875"/>
    <w:rsid w:val="00E81CFE"/>
    <w:rsid w:val="00E82014"/>
    <w:rsid w:val="00E823E3"/>
    <w:rsid w:val="00E82B06"/>
    <w:rsid w:val="00E82E0E"/>
    <w:rsid w:val="00E837C3"/>
    <w:rsid w:val="00E837E3"/>
    <w:rsid w:val="00E839D1"/>
    <w:rsid w:val="00E83E34"/>
    <w:rsid w:val="00E8476D"/>
    <w:rsid w:val="00E8539B"/>
    <w:rsid w:val="00E85535"/>
    <w:rsid w:val="00E85B35"/>
    <w:rsid w:val="00E85CA6"/>
    <w:rsid w:val="00E85D42"/>
    <w:rsid w:val="00E86239"/>
    <w:rsid w:val="00E86D01"/>
    <w:rsid w:val="00E8720A"/>
    <w:rsid w:val="00E87F85"/>
    <w:rsid w:val="00E902A3"/>
    <w:rsid w:val="00E908DC"/>
    <w:rsid w:val="00E90DCA"/>
    <w:rsid w:val="00E910F2"/>
    <w:rsid w:val="00E912A8"/>
    <w:rsid w:val="00E91C15"/>
    <w:rsid w:val="00E91D79"/>
    <w:rsid w:val="00E91F41"/>
    <w:rsid w:val="00E91FD5"/>
    <w:rsid w:val="00E920E4"/>
    <w:rsid w:val="00E92E79"/>
    <w:rsid w:val="00E933B6"/>
    <w:rsid w:val="00E93408"/>
    <w:rsid w:val="00E938D8"/>
    <w:rsid w:val="00E93D09"/>
    <w:rsid w:val="00E93D32"/>
    <w:rsid w:val="00E942F6"/>
    <w:rsid w:val="00E94546"/>
    <w:rsid w:val="00E945FD"/>
    <w:rsid w:val="00E94760"/>
    <w:rsid w:val="00E95562"/>
    <w:rsid w:val="00E95F3D"/>
    <w:rsid w:val="00E961F9"/>
    <w:rsid w:val="00E96553"/>
    <w:rsid w:val="00E96BCE"/>
    <w:rsid w:val="00E96DB0"/>
    <w:rsid w:val="00E97136"/>
    <w:rsid w:val="00E97AEB"/>
    <w:rsid w:val="00E97CCF"/>
    <w:rsid w:val="00E97F7E"/>
    <w:rsid w:val="00EA05D4"/>
    <w:rsid w:val="00EA06FC"/>
    <w:rsid w:val="00EA184D"/>
    <w:rsid w:val="00EA18D7"/>
    <w:rsid w:val="00EA1B4A"/>
    <w:rsid w:val="00EA1C86"/>
    <w:rsid w:val="00EA2DD5"/>
    <w:rsid w:val="00EA3853"/>
    <w:rsid w:val="00EA3B92"/>
    <w:rsid w:val="00EA4293"/>
    <w:rsid w:val="00EA5380"/>
    <w:rsid w:val="00EA5421"/>
    <w:rsid w:val="00EA63E7"/>
    <w:rsid w:val="00EA67CA"/>
    <w:rsid w:val="00EA683C"/>
    <w:rsid w:val="00EA6B0B"/>
    <w:rsid w:val="00EA6C5C"/>
    <w:rsid w:val="00EA6CE3"/>
    <w:rsid w:val="00EA6E53"/>
    <w:rsid w:val="00EA72EE"/>
    <w:rsid w:val="00EA7390"/>
    <w:rsid w:val="00EB0231"/>
    <w:rsid w:val="00EB02BD"/>
    <w:rsid w:val="00EB0664"/>
    <w:rsid w:val="00EB0BF1"/>
    <w:rsid w:val="00EB0D46"/>
    <w:rsid w:val="00EB0DBD"/>
    <w:rsid w:val="00EB0F92"/>
    <w:rsid w:val="00EB19EE"/>
    <w:rsid w:val="00EB1BD8"/>
    <w:rsid w:val="00EB1CB0"/>
    <w:rsid w:val="00EB2399"/>
    <w:rsid w:val="00EB2435"/>
    <w:rsid w:val="00EB250E"/>
    <w:rsid w:val="00EB2641"/>
    <w:rsid w:val="00EB28C8"/>
    <w:rsid w:val="00EB2903"/>
    <w:rsid w:val="00EB3118"/>
    <w:rsid w:val="00EB3280"/>
    <w:rsid w:val="00EB3482"/>
    <w:rsid w:val="00EB3A9F"/>
    <w:rsid w:val="00EB3C8A"/>
    <w:rsid w:val="00EB3C96"/>
    <w:rsid w:val="00EB4443"/>
    <w:rsid w:val="00EB488A"/>
    <w:rsid w:val="00EB4DAA"/>
    <w:rsid w:val="00EB4EA0"/>
    <w:rsid w:val="00EB5335"/>
    <w:rsid w:val="00EB535B"/>
    <w:rsid w:val="00EB55B7"/>
    <w:rsid w:val="00EB5CCF"/>
    <w:rsid w:val="00EB5CE6"/>
    <w:rsid w:val="00EB5E1C"/>
    <w:rsid w:val="00EB6026"/>
    <w:rsid w:val="00EB74CC"/>
    <w:rsid w:val="00EB7701"/>
    <w:rsid w:val="00EB7852"/>
    <w:rsid w:val="00EB7931"/>
    <w:rsid w:val="00EB7EB5"/>
    <w:rsid w:val="00EC0087"/>
    <w:rsid w:val="00EC0E55"/>
    <w:rsid w:val="00EC1287"/>
    <w:rsid w:val="00EC15AC"/>
    <w:rsid w:val="00EC1696"/>
    <w:rsid w:val="00EC1ADC"/>
    <w:rsid w:val="00EC1FF8"/>
    <w:rsid w:val="00EC30C1"/>
    <w:rsid w:val="00EC3265"/>
    <w:rsid w:val="00EC34A8"/>
    <w:rsid w:val="00EC38E3"/>
    <w:rsid w:val="00EC455D"/>
    <w:rsid w:val="00EC4E40"/>
    <w:rsid w:val="00EC4F0E"/>
    <w:rsid w:val="00EC5B36"/>
    <w:rsid w:val="00EC5EB4"/>
    <w:rsid w:val="00EC7E3B"/>
    <w:rsid w:val="00ED01D4"/>
    <w:rsid w:val="00ED020E"/>
    <w:rsid w:val="00ED05BD"/>
    <w:rsid w:val="00ED066D"/>
    <w:rsid w:val="00ED0EE1"/>
    <w:rsid w:val="00ED0EF1"/>
    <w:rsid w:val="00ED1472"/>
    <w:rsid w:val="00ED16B6"/>
    <w:rsid w:val="00ED16CC"/>
    <w:rsid w:val="00ED1E83"/>
    <w:rsid w:val="00ED1FBF"/>
    <w:rsid w:val="00ED2345"/>
    <w:rsid w:val="00ED2AAC"/>
    <w:rsid w:val="00ED2B13"/>
    <w:rsid w:val="00ED2E23"/>
    <w:rsid w:val="00ED3AC8"/>
    <w:rsid w:val="00ED3E3B"/>
    <w:rsid w:val="00ED4575"/>
    <w:rsid w:val="00ED4BF9"/>
    <w:rsid w:val="00ED4DBB"/>
    <w:rsid w:val="00ED4E0F"/>
    <w:rsid w:val="00ED5348"/>
    <w:rsid w:val="00ED54D9"/>
    <w:rsid w:val="00ED6A67"/>
    <w:rsid w:val="00ED6AFC"/>
    <w:rsid w:val="00ED6DCF"/>
    <w:rsid w:val="00EE0BCA"/>
    <w:rsid w:val="00EE0CC5"/>
    <w:rsid w:val="00EE0D1B"/>
    <w:rsid w:val="00EE0DBB"/>
    <w:rsid w:val="00EE1609"/>
    <w:rsid w:val="00EE162D"/>
    <w:rsid w:val="00EE1A3C"/>
    <w:rsid w:val="00EE1B75"/>
    <w:rsid w:val="00EE2A16"/>
    <w:rsid w:val="00EE46FE"/>
    <w:rsid w:val="00EE4861"/>
    <w:rsid w:val="00EE4A1C"/>
    <w:rsid w:val="00EE4EDF"/>
    <w:rsid w:val="00EE4FD2"/>
    <w:rsid w:val="00EE51E4"/>
    <w:rsid w:val="00EE599A"/>
    <w:rsid w:val="00EE5D85"/>
    <w:rsid w:val="00EE5ECB"/>
    <w:rsid w:val="00EE5F9B"/>
    <w:rsid w:val="00EE64D7"/>
    <w:rsid w:val="00EE6C98"/>
    <w:rsid w:val="00EE73DB"/>
    <w:rsid w:val="00EE79C3"/>
    <w:rsid w:val="00EE7EED"/>
    <w:rsid w:val="00EF0498"/>
    <w:rsid w:val="00EF0938"/>
    <w:rsid w:val="00EF1112"/>
    <w:rsid w:val="00EF1D71"/>
    <w:rsid w:val="00EF1E1E"/>
    <w:rsid w:val="00EF23AD"/>
    <w:rsid w:val="00EF2DB8"/>
    <w:rsid w:val="00EF37F3"/>
    <w:rsid w:val="00EF4538"/>
    <w:rsid w:val="00EF4956"/>
    <w:rsid w:val="00EF53D6"/>
    <w:rsid w:val="00EF62BD"/>
    <w:rsid w:val="00EF63AC"/>
    <w:rsid w:val="00EF65CE"/>
    <w:rsid w:val="00EF674E"/>
    <w:rsid w:val="00EF6B6E"/>
    <w:rsid w:val="00EF748A"/>
    <w:rsid w:val="00EF7A38"/>
    <w:rsid w:val="00EF7BD3"/>
    <w:rsid w:val="00EF7E37"/>
    <w:rsid w:val="00EF7EA9"/>
    <w:rsid w:val="00F00634"/>
    <w:rsid w:val="00F00896"/>
    <w:rsid w:val="00F02233"/>
    <w:rsid w:val="00F022B5"/>
    <w:rsid w:val="00F0289C"/>
    <w:rsid w:val="00F02A5F"/>
    <w:rsid w:val="00F02AF8"/>
    <w:rsid w:val="00F02EF3"/>
    <w:rsid w:val="00F045A5"/>
    <w:rsid w:val="00F04AD4"/>
    <w:rsid w:val="00F05516"/>
    <w:rsid w:val="00F05980"/>
    <w:rsid w:val="00F05C70"/>
    <w:rsid w:val="00F05E97"/>
    <w:rsid w:val="00F063A0"/>
    <w:rsid w:val="00F0663E"/>
    <w:rsid w:val="00F07714"/>
    <w:rsid w:val="00F07E85"/>
    <w:rsid w:val="00F07F14"/>
    <w:rsid w:val="00F108DB"/>
    <w:rsid w:val="00F10BCD"/>
    <w:rsid w:val="00F10FCA"/>
    <w:rsid w:val="00F11539"/>
    <w:rsid w:val="00F12162"/>
    <w:rsid w:val="00F12274"/>
    <w:rsid w:val="00F1290A"/>
    <w:rsid w:val="00F12CA5"/>
    <w:rsid w:val="00F133E2"/>
    <w:rsid w:val="00F135E8"/>
    <w:rsid w:val="00F138E2"/>
    <w:rsid w:val="00F13950"/>
    <w:rsid w:val="00F13EFE"/>
    <w:rsid w:val="00F14319"/>
    <w:rsid w:val="00F1455F"/>
    <w:rsid w:val="00F1484F"/>
    <w:rsid w:val="00F15128"/>
    <w:rsid w:val="00F1649C"/>
    <w:rsid w:val="00F16924"/>
    <w:rsid w:val="00F16BBF"/>
    <w:rsid w:val="00F177A7"/>
    <w:rsid w:val="00F178AF"/>
    <w:rsid w:val="00F17AC3"/>
    <w:rsid w:val="00F205D5"/>
    <w:rsid w:val="00F20BBD"/>
    <w:rsid w:val="00F20FFB"/>
    <w:rsid w:val="00F210A0"/>
    <w:rsid w:val="00F21130"/>
    <w:rsid w:val="00F217B8"/>
    <w:rsid w:val="00F217DE"/>
    <w:rsid w:val="00F217FD"/>
    <w:rsid w:val="00F21CD0"/>
    <w:rsid w:val="00F22293"/>
    <w:rsid w:val="00F22E2C"/>
    <w:rsid w:val="00F22E3C"/>
    <w:rsid w:val="00F23276"/>
    <w:rsid w:val="00F232DF"/>
    <w:rsid w:val="00F24392"/>
    <w:rsid w:val="00F246C5"/>
    <w:rsid w:val="00F24807"/>
    <w:rsid w:val="00F24DAC"/>
    <w:rsid w:val="00F250AF"/>
    <w:rsid w:val="00F256BE"/>
    <w:rsid w:val="00F257E3"/>
    <w:rsid w:val="00F25B73"/>
    <w:rsid w:val="00F2623B"/>
    <w:rsid w:val="00F26256"/>
    <w:rsid w:val="00F26D48"/>
    <w:rsid w:val="00F26F06"/>
    <w:rsid w:val="00F273FA"/>
    <w:rsid w:val="00F275EE"/>
    <w:rsid w:val="00F3094C"/>
    <w:rsid w:val="00F30B8B"/>
    <w:rsid w:val="00F30D0A"/>
    <w:rsid w:val="00F31327"/>
    <w:rsid w:val="00F31667"/>
    <w:rsid w:val="00F3220B"/>
    <w:rsid w:val="00F32433"/>
    <w:rsid w:val="00F3259F"/>
    <w:rsid w:val="00F330D2"/>
    <w:rsid w:val="00F33968"/>
    <w:rsid w:val="00F33987"/>
    <w:rsid w:val="00F33E5F"/>
    <w:rsid w:val="00F346DB"/>
    <w:rsid w:val="00F3498F"/>
    <w:rsid w:val="00F34BC1"/>
    <w:rsid w:val="00F34BE1"/>
    <w:rsid w:val="00F34EA5"/>
    <w:rsid w:val="00F351FC"/>
    <w:rsid w:val="00F35FBA"/>
    <w:rsid w:val="00F36034"/>
    <w:rsid w:val="00F36153"/>
    <w:rsid w:val="00F367F4"/>
    <w:rsid w:val="00F36919"/>
    <w:rsid w:val="00F36E4E"/>
    <w:rsid w:val="00F36EB4"/>
    <w:rsid w:val="00F36FA2"/>
    <w:rsid w:val="00F37CA3"/>
    <w:rsid w:val="00F37CE9"/>
    <w:rsid w:val="00F37EE6"/>
    <w:rsid w:val="00F37F32"/>
    <w:rsid w:val="00F409A3"/>
    <w:rsid w:val="00F40FE6"/>
    <w:rsid w:val="00F4103F"/>
    <w:rsid w:val="00F4112C"/>
    <w:rsid w:val="00F41DC2"/>
    <w:rsid w:val="00F4216E"/>
    <w:rsid w:val="00F4235F"/>
    <w:rsid w:val="00F42847"/>
    <w:rsid w:val="00F42891"/>
    <w:rsid w:val="00F429AB"/>
    <w:rsid w:val="00F4364B"/>
    <w:rsid w:val="00F437AC"/>
    <w:rsid w:val="00F43C06"/>
    <w:rsid w:val="00F44586"/>
    <w:rsid w:val="00F44716"/>
    <w:rsid w:val="00F447AA"/>
    <w:rsid w:val="00F44E74"/>
    <w:rsid w:val="00F454F9"/>
    <w:rsid w:val="00F45E42"/>
    <w:rsid w:val="00F45F51"/>
    <w:rsid w:val="00F45FD8"/>
    <w:rsid w:val="00F4628F"/>
    <w:rsid w:val="00F46ADC"/>
    <w:rsid w:val="00F46D9D"/>
    <w:rsid w:val="00F4725C"/>
    <w:rsid w:val="00F47EB0"/>
    <w:rsid w:val="00F50014"/>
    <w:rsid w:val="00F500C5"/>
    <w:rsid w:val="00F5066D"/>
    <w:rsid w:val="00F5067E"/>
    <w:rsid w:val="00F50A0D"/>
    <w:rsid w:val="00F50A81"/>
    <w:rsid w:val="00F50D51"/>
    <w:rsid w:val="00F50F79"/>
    <w:rsid w:val="00F51107"/>
    <w:rsid w:val="00F5161E"/>
    <w:rsid w:val="00F51D66"/>
    <w:rsid w:val="00F51F09"/>
    <w:rsid w:val="00F523B6"/>
    <w:rsid w:val="00F5243B"/>
    <w:rsid w:val="00F52A6B"/>
    <w:rsid w:val="00F5348A"/>
    <w:rsid w:val="00F5391B"/>
    <w:rsid w:val="00F53B28"/>
    <w:rsid w:val="00F53C4C"/>
    <w:rsid w:val="00F53EFB"/>
    <w:rsid w:val="00F53FB8"/>
    <w:rsid w:val="00F54066"/>
    <w:rsid w:val="00F550C1"/>
    <w:rsid w:val="00F5522B"/>
    <w:rsid w:val="00F55453"/>
    <w:rsid w:val="00F55CE9"/>
    <w:rsid w:val="00F55E06"/>
    <w:rsid w:val="00F55F84"/>
    <w:rsid w:val="00F56360"/>
    <w:rsid w:val="00F56AAE"/>
    <w:rsid w:val="00F56B09"/>
    <w:rsid w:val="00F56F6C"/>
    <w:rsid w:val="00F577FE"/>
    <w:rsid w:val="00F57817"/>
    <w:rsid w:val="00F579FD"/>
    <w:rsid w:val="00F57A9C"/>
    <w:rsid w:val="00F604E5"/>
    <w:rsid w:val="00F609C7"/>
    <w:rsid w:val="00F60E55"/>
    <w:rsid w:val="00F61115"/>
    <w:rsid w:val="00F61B82"/>
    <w:rsid w:val="00F61CDB"/>
    <w:rsid w:val="00F61D0B"/>
    <w:rsid w:val="00F62419"/>
    <w:rsid w:val="00F6244E"/>
    <w:rsid w:val="00F62A90"/>
    <w:rsid w:val="00F62B24"/>
    <w:rsid w:val="00F62EAD"/>
    <w:rsid w:val="00F63077"/>
    <w:rsid w:val="00F6329F"/>
    <w:rsid w:val="00F636DE"/>
    <w:rsid w:val="00F63AE1"/>
    <w:rsid w:val="00F63C7A"/>
    <w:rsid w:val="00F64274"/>
    <w:rsid w:val="00F64782"/>
    <w:rsid w:val="00F649E5"/>
    <w:rsid w:val="00F64AA0"/>
    <w:rsid w:val="00F64CDE"/>
    <w:rsid w:val="00F6515C"/>
    <w:rsid w:val="00F65929"/>
    <w:rsid w:val="00F664E3"/>
    <w:rsid w:val="00F66565"/>
    <w:rsid w:val="00F66598"/>
    <w:rsid w:val="00F6719D"/>
    <w:rsid w:val="00F6726F"/>
    <w:rsid w:val="00F67614"/>
    <w:rsid w:val="00F6789D"/>
    <w:rsid w:val="00F6798A"/>
    <w:rsid w:val="00F67EDC"/>
    <w:rsid w:val="00F703B6"/>
    <w:rsid w:val="00F704C5"/>
    <w:rsid w:val="00F707F9"/>
    <w:rsid w:val="00F70DBC"/>
    <w:rsid w:val="00F70F6A"/>
    <w:rsid w:val="00F72B40"/>
    <w:rsid w:val="00F73E3F"/>
    <w:rsid w:val="00F74538"/>
    <w:rsid w:val="00F74BE2"/>
    <w:rsid w:val="00F755E2"/>
    <w:rsid w:val="00F761D5"/>
    <w:rsid w:val="00F7739F"/>
    <w:rsid w:val="00F777FF"/>
    <w:rsid w:val="00F77AC6"/>
    <w:rsid w:val="00F8044D"/>
    <w:rsid w:val="00F80679"/>
    <w:rsid w:val="00F811BB"/>
    <w:rsid w:val="00F811C4"/>
    <w:rsid w:val="00F817C4"/>
    <w:rsid w:val="00F8182E"/>
    <w:rsid w:val="00F818AC"/>
    <w:rsid w:val="00F8195A"/>
    <w:rsid w:val="00F819B0"/>
    <w:rsid w:val="00F81F5C"/>
    <w:rsid w:val="00F82F43"/>
    <w:rsid w:val="00F82F80"/>
    <w:rsid w:val="00F833D1"/>
    <w:rsid w:val="00F834B3"/>
    <w:rsid w:val="00F835C2"/>
    <w:rsid w:val="00F8425E"/>
    <w:rsid w:val="00F842DD"/>
    <w:rsid w:val="00F845AD"/>
    <w:rsid w:val="00F84AD2"/>
    <w:rsid w:val="00F84EE1"/>
    <w:rsid w:val="00F8543D"/>
    <w:rsid w:val="00F863FB"/>
    <w:rsid w:val="00F86A9E"/>
    <w:rsid w:val="00F87224"/>
    <w:rsid w:val="00F8748E"/>
    <w:rsid w:val="00F8770D"/>
    <w:rsid w:val="00F87D99"/>
    <w:rsid w:val="00F901DA"/>
    <w:rsid w:val="00F90295"/>
    <w:rsid w:val="00F909A4"/>
    <w:rsid w:val="00F90B2D"/>
    <w:rsid w:val="00F90B9E"/>
    <w:rsid w:val="00F91007"/>
    <w:rsid w:val="00F9128A"/>
    <w:rsid w:val="00F9176A"/>
    <w:rsid w:val="00F92D09"/>
    <w:rsid w:val="00F93052"/>
    <w:rsid w:val="00F932CE"/>
    <w:rsid w:val="00F93D79"/>
    <w:rsid w:val="00F94A34"/>
    <w:rsid w:val="00F94BC5"/>
    <w:rsid w:val="00F94C35"/>
    <w:rsid w:val="00F95554"/>
    <w:rsid w:val="00F955F8"/>
    <w:rsid w:val="00F95853"/>
    <w:rsid w:val="00F95BAF"/>
    <w:rsid w:val="00F95BE2"/>
    <w:rsid w:val="00F95CC5"/>
    <w:rsid w:val="00F96540"/>
    <w:rsid w:val="00F96A28"/>
    <w:rsid w:val="00F96A36"/>
    <w:rsid w:val="00F96CEC"/>
    <w:rsid w:val="00F971FD"/>
    <w:rsid w:val="00F97B5B"/>
    <w:rsid w:val="00FA12E1"/>
    <w:rsid w:val="00FA1F99"/>
    <w:rsid w:val="00FA2496"/>
    <w:rsid w:val="00FA24D0"/>
    <w:rsid w:val="00FA2B68"/>
    <w:rsid w:val="00FA2C54"/>
    <w:rsid w:val="00FA3634"/>
    <w:rsid w:val="00FA3CDF"/>
    <w:rsid w:val="00FA4175"/>
    <w:rsid w:val="00FA4426"/>
    <w:rsid w:val="00FA486E"/>
    <w:rsid w:val="00FA5118"/>
    <w:rsid w:val="00FA538F"/>
    <w:rsid w:val="00FA58B7"/>
    <w:rsid w:val="00FA59D7"/>
    <w:rsid w:val="00FA6261"/>
    <w:rsid w:val="00FA63AA"/>
    <w:rsid w:val="00FA6824"/>
    <w:rsid w:val="00FA6D2D"/>
    <w:rsid w:val="00FA7456"/>
    <w:rsid w:val="00FA74F0"/>
    <w:rsid w:val="00FA7F0F"/>
    <w:rsid w:val="00FB008D"/>
    <w:rsid w:val="00FB0355"/>
    <w:rsid w:val="00FB042F"/>
    <w:rsid w:val="00FB04BE"/>
    <w:rsid w:val="00FB060E"/>
    <w:rsid w:val="00FB13F9"/>
    <w:rsid w:val="00FB1460"/>
    <w:rsid w:val="00FB1F9F"/>
    <w:rsid w:val="00FB2302"/>
    <w:rsid w:val="00FB25BE"/>
    <w:rsid w:val="00FB2B74"/>
    <w:rsid w:val="00FB30DA"/>
    <w:rsid w:val="00FB3A1F"/>
    <w:rsid w:val="00FB42C9"/>
    <w:rsid w:val="00FB44D2"/>
    <w:rsid w:val="00FB458F"/>
    <w:rsid w:val="00FB4963"/>
    <w:rsid w:val="00FB4B4B"/>
    <w:rsid w:val="00FB5599"/>
    <w:rsid w:val="00FB56CD"/>
    <w:rsid w:val="00FB5A40"/>
    <w:rsid w:val="00FB5A68"/>
    <w:rsid w:val="00FB5DB2"/>
    <w:rsid w:val="00FB61EB"/>
    <w:rsid w:val="00FB6E5D"/>
    <w:rsid w:val="00FB7043"/>
    <w:rsid w:val="00FB75BB"/>
    <w:rsid w:val="00FB76C6"/>
    <w:rsid w:val="00FC0884"/>
    <w:rsid w:val="00FC0AA7"/>
    <w:rsid w:val="00FC0F1A"/>
    <w:rsid w:val="00FC1000"/>
    <w:rsid w:val="00FC124B"/>
    <w:rsid w:val="00FC158C"/>
    <w:rsid w:val="00FC1E1D"/>
    <w:rsid w:val="00FC2E5B"/>
    <w:rsid w:val="00FC3176"/>
    <w:rsid w:val="00FC38CB"/>
    <w:rsid w:val="00FC3B20"/>
    <w:rsid w:val="00FC3CE1"/>
    <w:rsid w:val="00FC4718"/>
    <w:rsid w:val="00FC5145"/>
    <w:rsid w:val="00FC5596"/>
    <w:rsid w:val="00FC6224"/>
    <w:rsid w:val="00FC6698"/>
    <w:rsid w:val="00FC6930"/>
    <w:rsid w:val="00FC6DC0"/>
    <w:rsid w:val="00FC72D0"/>
    <w:rsid w:val="00FC74EC"/>
    <w:rsid w:val="00FC7792"/>
    <w:rsid w:val="00FC7B09"/>
    <w:rsid w:val="00FC7CEE"/>
    <w:rsid w:val="00FD0DEC"/>
    <w:rsid w:val="00FD1357"/>
    <w:rsid w:val="00FD1D40"/>
    <w:rsid w:val="00FD27FD"/>
    <w:rsid w:val="00FD36B3"/>
    <w:rsid w:val="00FD3C60"/>
    <w:rsid w:val="00FD3C81"/>
    <w:rsid w:val="00FD420F"/>
    <w:rsid w:val="00FD4461"/>
    <w:rsid w:val="00FD4FF5"/>
    <w:rsid w:val="00FD52A9"/>
    <w:rsid w:val="00FD543C"/>
    <w:rsid w:val="00FD5EB2"/>
    <w:rsid w:val="00FD644B"/>
    <w:rsid w:val="00FD6521"/>
    <w:rsid w:val="00FD7DDA"/>
    <w:rsid w:val="00FE00FD"/>
    <w:rsid w:val="00FE010B"/>
    <w:rsid w:val="00FE0785"/>
    <w:rsid w:val="00FE0840"/>
    <w:rsid w:val="00FE09A2"/>
    <w:rsid w:val="00FE0A4F"/>
    <w:rsid w:val="00FE0A75"/>
    <w:rsid w:val="00FE0CE4"/>
    <w:rsid w:val="00FE0EF9"/>
    <w:rsid w:val="00FE0F9B"/>
    <w:rsid w:val="00FE1096"/>
    <w:rsid w:val="00FE1892"/>
    <w:rsid w:val="00FE1EF2"/>
    <w:rsid w:val="00FE1F51"/>
    <w:rsid w:val="00FE2605"/>
    <w:rsid w:val="00FE3D43"/>
    <w:rsid w:val="00FE401B"/>
    <w:rsid w:val="00FE4485"/>
    <w:rsid w:val="00FE47FA"/>
    <w:rsid w:val="00FE53C7"/>
    <w:rsid w:val="00FE556F"/>
    <w:rsid w:val="00FE5D2E"/>
    <w:rsid w:val="00FE6826"/>
    <w:rsid w:val="00FE684E"/>
    <w:rsid w:val="00FE7065"/>
    <w:rsid w:val="00FE731F"/>
    <w:rsid w:val="00FE7953"/>
    <w:rsid w:val="00FE7A41"/>
    <w:rsid w:val="00FE7B8F"/>
    <w:rsid w:val="00FF09DF"/>
    <w:rsid w:val="00FF0E69"/>
    <w:rsid w:val="00FF0FF3"/>
    <w:rsid w:val="00FF1995"/>
    <w:rsid w:val="00FF23FF"/>
    <w:rsid w:val="00FF26D6"/>
    <w:rsid w:val="00FF27E4"/>
    <w:rsid w:val="00FF287E"/>
    <w:rsid w:val="00FF2CB2"/>
    <w:rsid w:val="00FF2CD1"/>
    <w:rsid w:val="00FF36C9"/>
    <w:rsid w:val="00FF40C9"/>
    <w:rsid w:val="00FF4782"/>
    <w:rsid w:val="00FF4CCD"/>
    <w:rsid w:val="00FF4E18"/>
    <w:rsid w:val="00FF4ECA"/>
    <w:rsid w:val="00FF52BA"/>
    <w:rsid w:val="00FF5C55"/>
    <w:rsid w:val="00FF6835"/>
    <w:rsid w:val="00FF76F7"/>
    <w:rsid w:val="00FF7736"/>
    <w:rsid w:val="00FF7CD9"/>
    <w:rsid w:val="00FF7CFD"/>
    <w:rsid w:val="09272E9B"/>
    <w:rsid w:val="32B556F1"/>
    <w:rsid w:val="35FA536F"/>
    <w:rsid w:val="36370430"/>
    <w:rsid w:val="463F7E64"/>
    <w:rsid w:val="56E467AA"/>
    <w:rsid w:val="6A020D1A"/>
    <w:rsid w:val="6B734F10"/>
    <w:rsid w:val="6F3B6AC1"/>
    <w:rsid w:val="72335332"/>
    <w:rsid w:val="75A02728"/>
    <w:rsid w:val="7F7FE08F"/>
    <w:rsid w:val="F7BF200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semiHidden="0" w:name="macro"/>
    <w:lsdException w:uiPriority="0" w:name="toa heading"/>
    <w:lsdException w:uiPriority="0" w:name="List"/>
    <w:lsdException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semiHidden="0" w:name="List Continue 3"/>
    <w:lsdException w:uiPriority="0" w:semiHidden="0" w:name="List Continue 4"/>
    <w:lsdException w:uiPriority="0" w:semiHidden="0" w:name="List Continue 5"/>
    <w:lsdException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qFormat/>
    <w:uiPriority w:val="0"/>
    <w:pPr>
      <w:ind w:left="1260"/>
      <w:jc w:val="left"/>
    </w:pPr>
    <w:rPr>
      <w:sz w:val="18"/>
      <w:szCs w:val="18"/>
    </w:rPr>
  </w:style>
  <w:style w:type="paragraph" w:styleId="3">
    <w:name w:val="Document Map"/>
    <w:basedOn w:val="1"/>
    <w:semiHidden/>
    <w:qFormat/>
    <w:uiPriority w:val="0"/>
    <w:pPr>
      <w:shd w:val="clear" w:color="auto" w:fill="000080"/>
    </w:pPr>
  </w:style>
  <w:style w:type="paragraph" w:styleId="4">
    <w:name w:val="annotation text"/>
    <w:basedOn w:val="1"/>
    <w:link w:val="57"/>
    <w:qFormat/>
    <w:uiPriority w:val="0"/>
    <w:pPr>
      <w:jc w:val="left"/>
    </w:pPr>
  </w:style>
  <w:style w:type="paragraph" w:styleId="5">
    <w:name w:val="Body Text"/>
    <w:basedOn w:val="1"/>
    <w:link w:val="63"/>
    <w:qFormat/>
    <w:uiPriority w:val="0"/>
    <w:pPr>
      <w:spacing w:after="120"/>
    </w:pPr>
  </w:style>
  <w:style w:type="paragraph" w:styleId="6">
    <w:name w:val="Body Text Indent"/>
    <w:basedOn w:val="1"/>
    <w:link w:val="62"/>
    <w:qFormat/>
    <w:uiPriority w:val="0"/>
    <w:pPr>
      <w:spacing w:after="120"/>
      <w:ind w:left="420" w:leftChars="200"/>
    </w:pPr>
  </w:style>
  <w:style w:type="paragraph" w:styleId="7">
    <w:name w:val="toc 5"/>
    <w:basedOn w:val="1"/>
    <w:next w:val="1"/>
    <w:semiHidden/>
    <w:qFormat/>
    <w:uiPriority w:val="0"/>
    <w:pPr>
      <w:ind w:left="840"/>
      <w:jc w:val="left"/>
    </w:pPr>
    <w:rPr>
      <w:sz w:val="18"/>
      <w:szCs w:val="18"/>
    </w:rPr>
  </w:style>
  <w:style w:type="paragraph" w:styleId="8">
    <w:name w:val="toc 3"/>
    <w:basedOn w:val="1"/>
    <w:next w:val="1"/>
    <w:semiHidden/>
    <w:qFormat/>
    <w:uiPriority w:val="0"/>
    <w:pPr>
      <w:ind w:left="420"/>
      <w:jc w:val="left"/>
    </w:pPr>
    <w:rPr>
      <w:i/>
      <w:iCs/>
      <w:sz w:val="20"/>
      <w:szCs w:val="20"/>
    </w:rPr>
  </w:style>
  <w:style w:type="paragraph" w:styleId="9">
    <w:name w:val="toc 8"/>
    <w:basedOn w:val="1"/>
    <w:next w:val="1"/>
    <w:semiHidden/>
    <w:qFormat/>
    <w:uiPriority w:val="0"/>
    <w:pPr>
      <w:ind w:left="1470"/>
      <w:jc w:val="left"/>
    </w:pPr>
    <w:rPr>
      <w:sz w:val="18"/>
      <w:szCs w:val="18"/>
    </w:rPr>
  </w:style>
  <w:style w:type="paragraph" w:styleId="10">
    <w:name w:val="Balloon Text"/>
    <w:basedOn w:val="1"/>
    <w:semiHidden/>
    <w:qFormat/>
    <w:uiPriority w:val="0"/>
    <w:rPr>
      <w:sz w:val="18"/>
      <w:szCs w:val="18"/>
    </w:rPr>
  </w:style>
  <w:style w:type="paragraph" w:styleId="11">
    <w:name w:val="footer"/>
    <w:basedOn w:val="1"/>
    <w:link w:val="49"/>
    <w:qFormat/>
    <w:uiPriority w:val="99"/>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spacing w:before="120" w:after="120"/>
      <w:jc w:val="left"/>
    </w:pPr>
    <w:rPr>
      <w:b/>
      <w:bCs/>
      <w:caps/>
      <w:sz w:val="20"/>
      <w:szCs w:val="20"/>
    </w:rPr>
  </w:style>
  <w:style w:type="paragraph" w:styleId="14">
    <w:name w:val="toc 4"/>
    <w:basedOn w:val="1"/>
    <w:next w:val="1"/>
    <w:semiHidden/>
    <w:qFormat/>
    <w:uiPriority w:val="0"/>
    <w:pPr>
      <w:ind w:left="630"/>
      <w:jc w:val="left"/>
    </w:pPr>
    <w:rPr>
      <w:sz w:val="18"/>
      <w:szCs w:val="18"/>
    </w:rPr>
  </w:style>
  <w:style w:type="paragraph" w:styleId="15">
    <w:name w:val="index heading"/>
    <w:basedOn w:val="1"/>
    <w:next w:val="16"/>
    <w:semiHidden/>
    <w:qFormat/>
    <w:uiPriority w:val="0"/>
    <w:rPr>
      <w:rFonts w:ascii="Arial" w:hAnsi="Arial" w:cs="Arial"/>
      <w:b/>
      <w:bCs/>
    </w:rPr>
  </w:style>
  <w:style w:type="paragraph" w:styleId="16">
    <w:name w:val="index 1"/>
    <w:basedOn w:val="1"/>
    <w:next w:val="1"/>
    <w:semiHidden/>
    <w:qFormat/>
    <w:uiPriority w:val="0"/>
  </w:style>
  <w:style w:type="paragraph" w:styleId="17">
    <w:name w:val="footnote text"/>
    <w:basedOn w:val="1"/>
    <w:link w:val="58"/>
    <w:semiHidden/>
    <w:unhideWhenUsed/>
    <w:qFormat/>
    <w:uiPriority w:val="0"/>
    <w:pPr>
      <w:snapToGrid w:val="0"/>
      <w:jc w:val="left"/>
    </w:pPr>
    <w:rPr>
      <w:sz w:val="18"/>
      <w:szCs w:val="18"/>
    </w:rPr>
  </w:style>
  <w:style w:type="paragraph" w:styleId="18">
    <w:name w:val="toc 6"/>
    <w:basedOn w:val="1"/>
    <w:next w:val="1"/>
    <w:semiHidden/>
    <w:qFormat/>
    <w:uiPriority w:val="0"/>
    <w:pPr>
      <w:ind w:left="1050"/>
      <w:jc w:val="left"/>
    </w:pPr>
    <w:rPr>
      <w:sz w:val="18"/>
      <w:szCs w:val="18"/>
    </w:rPr>
  </w:style>
  <w:style w:type="paragraph" w:styleId="19">
    <w:name w:val="toc 2"/>
    <w:basedOn w:val="1"/>
    <w:next w:val="1"/>
    <w:semiHidden/>
    <w:qFormat/>
    <w:uiPriority w:val="0"/>
    <w:pPr>
      <w:ind w:left="210"/>
      <w:jc w:val="left"/>
    </w:pPr>
    <w:rPr>
      <w:smallCaps/>
      <w:sz w:val="20"/>
      <w:szCs w:val="20"/>
    </w:rPr>
  </w:style>
  <w:style w:type="paragraph" w:styleId="20">
    <w:name w:val="toc 9"/>
    <w:basedOn w:val="1"/>
    <w:next w:val="1"/>
    <w:semiHidden/>
    <w:qFormat/>
    <w:uiPriority w:val="0"/>
    <w:pPr>
      <w:ind w:left="1680"/>
      <w:jc w:val="left"/>
    </w:pPr>
    <w:rPr>
      <w:sz w:val="18"/>
      <w:szCs w:val="18"/>
    </w:rPr>
  </w:style>
  <w:style w:type="paragraph" w:styleId="21">
    <w:name w:val="annotation subject"/>
    <w:basedOn w:val="4"/>
    <w:next w:val="4"/>
    <w:semiHidden/>
    <w:qFormat/>
    <w:uiPriority w:val="0"/>
    <w:rPr>
      <w:b/>
      <w:bCs/>
    </w:rPr>
  </w:style>
  <w:style w:type="character" w:styleId="24">
    <w:name w:val="page number"/>
    <w:basedOn w:val="23"/>
    <w:qFormat/>
    <w:uiPriority w:val="0"/>
  </w:style>
  <w:style w:type="character" w:styleId="25">
    <w:name w:val="Hyperlink"/>
    <w:qFormat/>
    <w:uiPriority w:val="99"/>
    <w:rPr>
      <w:color w:val="0000FF"/>
      <w:u w:val="single"/>
    </w:rPr>
  </w:style>
  <w:style w:type="character" w:styleId="26">
    <w:name w:val="annotation reference"/>
    <w:qFormat/>
    <w:uiPriority w:val="0"/>
    <w:rPr>
      <w:sz w:val="21"/>
      <w:szCs w:val="21"/>
    </w:rPr>
  </w:style>
  <w:style w:type="character" w:styleId="27">
    <w:name w:val="footnote reference"/>
    <w:basedOn w:val="23"/>
    <w:semiHidden/>
    <w:unhideWhenUsed/>
    <w:qFormat/>
    <w:uiPriority w:val="0"/>
    <w:rPr>
      <w:vertAlign w:val="superscript"/>
    </w:rPr>
  </w:style>
  <w:style w:type="paragraph" w:customStyle="1" w:styleId="28">
    <w:name w:val="1"/>
    <w:basedOn w:val="1"/>
    <w:next w:val="6"/>
    <w:qFormat/>
    <w:uiPriority w:val="0"/>
    <w:pPr>
      <w:spacing w:line="360" w:lineRule="auto"/>
      <w:ind w:firstLine="376"/>
    </w:pPr>
    <w:rPr>
      <w:sz w:val="24"/>
    </w:rPr>
  </w:style>
  <w:style w:type="character" w:customStyle="1" w:styleId="29">
    <w:name w:val="DeltaView Insertion"/>
    <w:qFormat/>
    <w:uiPriority w:val="0"/>
    <w:rPr>
      <w:color w:val="0000FF"/>
      <w:u w:val="double"/>
    </w:rPr>
  </w:style>
  <w:style w:type="paragraph" w:customStyle="1" w:styleId="30">
    <w:name w:val="FWB_L2"/>
    <w:basedOn w:val="1"/>
    <w:qFormat/>
    <w:uiPriority w:val="0"/>
    <w:pPr>
      <w:widowControl/>
      <w:numPr>
        <w:ilvl w:val="1"/>
        <w:numId w:val="1"/>
      </w:numPr>
      <w:spacing w:after="240"/>
    </w:pPr>
    <w:rPr>
      <w:kern w:val="0"/>
      <w:sz w:val="24"/>
      <w:szCs w:val="20"/>
      <w:lang w:val="en-GB" w:eastAsia="en-US"/>
    </w:rPr>
  </w:style>
  <w:style w:type="paragraph" w:customStyle="1" w:styleId="31">
    <w:name w:val="FWB_L3"/>
    <w:basedOn w:val="30"/>
    <w:qFormat/>
    <w:uiPriority w:val="0"/>
    <w:pPr>
      <w:numPr>
        <w:ilvl w:val="2"/>
      </w:numPr>
    </w:pPr>
  </w:style>
  <w:style w:type="paragraph" w:customStyle="1" w:styleId="32">
    <w:name w:val="FWB_L4"/>
    <w:basedOn w:val="31"/>
    <w:qFormat/>
    <w:uiPriority w:val="0"/>
    <w:pPr>
      <w:numPr>
        <w:ilvl w:val="3"/>
      </w:numPr>
    </w:pPr>
  </w:style>
  <w:style w:type="paragraph" w:customStyle="1" w:styleId="33">
    <w:name w:val="FWB_L5"/>
    <w:basedOn w:val="32"/>
    <w:qFormat/>
    <w:uiPriority w:val="0"/>
    <w:pPr>
      <w:numPr>
        <w:ilvl w:val="4"/>
      </w:numPr>
    </w:pPr>
  </w:style>
  <w:style w:type="paragraph" w:customStyle="1" w:styleId="34">
    <w:name w:val="FWB_L6"/>
    <w:basedOn w:val="33"/>
    <w:qFormat/>
    <w:uiPriority w:val="0"/>
    <w:pPr>
      <w:numPr>
        <w:ilvl w:val="5"/>
      </w:numPr>
    </w:pPr>
  </w:style>
  <w:style w:type="paragraph" w:customStyle="1" w:styleId="35">
    <w:name w:val="FWB_L7"/>
    <w:basedOn w:val="34"/>
    <w:qFormat/>
    <w:uiPriority w:val="0"/>
    <w:pPr>
      <w:numPr>
        <w:ilvl w:val="6"/>
      </w:numPr>
    </w:pPr>
  </w:style>
  <w:style w:type="paragraph" w:customStyle="1" w:styleId="36">
    <w:name w:val="FWB_L8"/>
    <w:basedOn w:val="35"/>
    <w:qFormat/>
    <w:uiPriority w:val="0"/>
    <w:pPr>
      <w:numPr>
        <w:ilvl w:val="7"/>
      </w:numPr>
    </w:pPr>
  </w:style>
  <w:style w:type="paragraph" w:customStyle="1" w:styleId="37">
    <w:name w:val="(a)"/>
    <w:basedOn w:val="5"/>
    <w:qFormat/>
    <w:uiPriority w:val="0"/>
    <w:pPr>
      <w:widowControl/>
      <w:spacing w:after="240"/>
      <w:ind w:left="720" w:hanging="720"/>
    </w:pPr>
    <w:rPr>
      <w:bCs/>
      <w:kern w:val="0"/>
      <w:sz w:val="24"/>
      <w:lang w:val="en-GB" w:eastAsia="en-US"/>
    </w:rPr>
  </w:style>
  <w:style w:type="paragraph" w:customStyle="1" w:styleId="38">
    <w:name w:val="FWB_L1"/>
    <w:basedOn w:val="1"/>
    <w:next w:val="30"/>
    <w:qFormat/>
    <w:uiPriority w:val="0"/>
    <w:pPr>
      <w:keepNext/>
      <w:keepLines/>
      <w:widowControl/>
      <w:tabs>
        <w:tab w:val="left" w:pos="720"/>
      </w:tabs>
      <w:spacing w:after="240"/>
      <w:jc w:val="left"/>
      <w:outlineLvl w:val="0"/>
    </w:pPr>
    <w:rPr>
      <w:b/>
      <w:smallCaps/>
      <w:kern w:val="0"/>
      <w:sz w:val="24"/>
      <w:szCs w:val="20"/>
      <w:lang w:val="en-GB" w:eastAsia="en-US"/>
    </w:rPr>
  </w:style>
  <w:style w:type="paragraph" w:customStyle="1" w:styleId="39">
    <w:name w:val="Index Heading 2"/>
    <w:basedOn w:val="15"/>
    <w:qFormat/>
    <w:uiPriority w:val="0"/>
    <w:pPr>
      <w:widowControl/>
      <w:tabs>
        <w:tab w:val="right" w:pos="8280"/>
      </w:tabs>
      <w:spacing w:after="480"/>
      <w:jc w:val="left"/>
    </w:pPr>
    <w:rPr>
      <w:rFonts w:ascii="Times New Roman" w:hAnsi="Times New Roman" w:cs="Times New Roman"/>
      <w:bCs w:val="0"/>
      <w:caps/>
      <w:kern w:val="0"/>
      <w:sz w:val="24"/>
      <w:lang w:val="en-GB" w:eastAsia="en-US"/>
    </w:rPr>
  </w:style>
  <w:style w:type="paragraph" w:customStyle="1" w:styleId="40">
    <w:name w:val="FWParties"/>
    <w:basedOn w:val="5"/>
    <w:qFormat/>
    <w:uiPriority w:val="0"/>
    <w:pPr>
      <w:widowControl/>
      <w:tabs>
        <w:tab w:val="left" w:pos="425"/>
      </w:tabs>
      <w:spacing w:after="240"/>
      <w:ind w:left="425" w:hanging="425"/>
    </w:pPr>
    <w:rPr>
      <w:bCs/>
      <w:kern w:val="0"/>
      <w:sz w:val="24"/>
      <w:lang w:val="en-GB" w:eastAsia="en-US"/>
    </w:rPr>
  </w:style>
  <w:style w:type="paragraph" w:customStyle="1" w:styleId="41">
    <w:name w:val="FWB Cont 2"/>
    <w:basedOn w:val="1"/>
    <w:qFormat/>
    <w:uiPriority w:val="0"/>
    <w:pPr>
      <w:widowControl/>
      <w:spacing w:after="240"/>
    </w:pPr>
    <w:rPr>
      <w:kern w:val="0"/>
      <w:sz w:val="24"/>
      <w:szCs w:val="20"/>
      <w:lang w:val="en-GB" w:eastAsia="en-US"/>
    </w:rPr>
  </w:style>
  <w:style w:type="paragraph" w:customStyle="1" w:styleId="42">
    <w:name w:val="_Style 33"/>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43">
    <w:name w:val="Char Char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44">
    <w:name w:val="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45">
    <w:name w:val="Char Char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46">
    <w:name w:val="Char Char Char Char Char Char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47">
    <w:name w:val="中等深浅网格 1 - 强调文字颜色 21"/>
    <w:basedOn w:val="1"/>
    <w:qFormat/>
    <w:uiPriority w:val="34"/>
    <w:pPr>
      <w:ind w:firstLine="420" w:firstLineChars="200"/>
    </w:pPr>
  </w:style>
  <w:style w:type="paragraph" w:customStyle="1" w:styleId="48">
    <w:name w:val="中等深浅列表 2 - 强调文字颜色 21"/>
    <w:hidden/>
    <w:semiHidden/>
    <w:qFormat/>
    <w:uiPriority w:val="99"/>
    <w:rPr>
      <w:rFonts w:ascii="Times New Roman" w:hAnsi="Times New Roman" w:eastAsia="宋体" w:cs="Times New Roman"/>
      <w:kern w:val="2"/>
      <w:sz w:val="21"/>
      <w:szCs w:val="24"/>
      <w:lang w:val="en-US" w:eastAsia="zh-CN" w:bidi="ar-SA"/>
    </w:rPr>
  </w:style>
  <w:style w:type="character" w:customStyle="1" w:styleId="49">
    <w:name w:val="页脚 字符"/>
    <w:link w:val="11"/>
    <w:qFormat/>
    <w:uiPriority w:val="99"/>
    <w:rPr>
      <w:kern w:val="2"/>
      <w:sz w:val="18"/>
      <w:szCs w:val="18"/>
    </w:rPr>
  </w:style>
  <w:style w:type="paragraph" w:customStyle="1" w:styleId="50">
    <w:name w:val="彩色底纹 - 强调文字颜色 11"/>
    <w:hidden/>
    <w:semiHidden/>
    <w:qFormat/>
    <w:uiPriority w:val="99"/>
    <w:rPr>
      <w:rFonts w:ascii="Times New Roman" w:hAnsi="Times New Roman" w:eastAsia="宋体" w:cs="Times New Roman"/>
      <w:kern w:val="2"/>
      <w:sz w:val="21"/>
      <w:szCs w:val="24"/>
      <w:lang w:val="en-US" w:eastAsia="zh-CN" w:bidi="ar-SA"/>
    </w:rPr>
  </w:style>
  <w:style w:type="paragraph" w:customStyle="1" w:styleId="51">
    <w:name w:val="彩色列表 - 强调文字颜色 11"/>
    <w:basedOn w:val="1"/>
    <w:qFormat/>
    <w:uiPriority w:val="34"/>
    <w:pPr>
      <w:ind w:firstLine="420" w:firstLineChars="200"/>
    </w:pPr>
  </w:style>
  <w:style w:type="paragraph" w:customStyle="1" w:styleId="52">
    <w:name w:val="彩色底纹 - 强调文字颜色 12"/>
    <w:hidden/>
    <w:semiHidden/>
    <w:qFormat/>
    <w:uiPriority w:val="99"/>
    <w:rPr>
      <w:rFonts w:ascii="Times New Roman" w:hAnsi="Times New Roman" w:eastAsia="宋体" w:cs="Times New Roman"/>
      <w:kern w:val="2"/>
      <w:sz w:val="21"/>
      <w:szCs w:val="24"/>
      <w:lang w:val="en-US" w:eastAsia="zh-CN" w:bidi="ar-SA"/>
    </w:rPr>
  </w:style>
  <w:style w:type="paragraph" w:customStyle="1" w:styleId="53">
    <w:name w:val="字元 字元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styleId="54">
    <w:name w:val="List Paragraph"/>
    <w:basedOn w:val="1"/>
    <w:qFormat/>
    <w:uiPriority w:val="34"/>
    <w:pPr>
      <w:ind w:firstLine="420" w:firstLineChars="200"/>
    </w:pPr>
  </w:style>
  <w:style w:type="paragraph" w:customStyle="1" w:styleId="55">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56">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57">
    <w:name w:val="批注文字 字符"/>
    <w:link w:val="4"/>
    <w:qFormat/>
    <w:uiPriority w:val="0"/>
    <w:rPr>
      <w:kern w:val="2"/>
      <w:sz w:val="21"/>
      <w:szCs w:val="24"/>
    </w:rPr>
  </w:style>
  <w:style w:type="character" w:customStyle="1" w:styleId="58">
    <w:name w:val="脚注文本 字符"/>
    <w:basedOn w:val="23"/>
    <w:link w:val="17"/>
    <w:semiHidden/>
    <w:qFormat/>
    <w:uiPriority w:val="0"/>
    <w:rPr>
      <w:kern w:val="2"/>
      <w:sz w:val="18"/>
      <w:szCs w:val="18"/>
    </w:rPr>
  </w:style>
  <w:style w:type="paragraph" w:customStyle="1" w:styleId="59">
    <w:name w:val="样式1"/>
    <w:basedOn w:val="1"/>
    <w:qFormat/>
    <w:uiPriority w:val="0"/>
    <w:pPr>
      <w:tabs>
        <w:tab w:val="left" w:pos="425"/>
        <w:tab w:val="left" w:pos="862"/>
        <w:tab w:val="left" w:pos="1288"/>
      </w:tabs>
      <w:spacing w:beforeLines="50" w:afterLines="50" w:line="360" w:lineRule="auto"/>
      <w:ind w:left="1288" w:hanging="720"/>
    </w:pPr>
    <w:rPr>
      <w:rFonts w:eastAsia="楷体_GB2312"/>
      <w:bCs/>
      <w:sz w:val="24"/>
    </w:rPr>
  </w:style>
  <w:style w:type="paragraph" w:customStyle="1" w:styleId="60">
    <w:name w:val="浅色网格 - 强调文字颜色 31"/>
    <w:basedOn w:val="1"/>
    <w:qFormat/>
    <w:uiPriority w:val="34"/>
    <w:pPr>
      <w:widowControl/>
      <w:ind w:firstLine="420" w:firstLineChars="200"/>
      <w:jc w:val="left"/>
    </w:pPr>
    <w:rPr>
      <w:rFonts w:eastAsia="PMingLiU"/>
      <w:kern w:val="0"/>
      <w:sz w:val="24"/>
      <w:szCs w:val="20"/>
      <w:lang w:eastAsia="zh-TW"/>
    </w:rPr>
  </w:style>
  <w:style w:type="paragraph" w:customStyle="1" w:styleId="61">
    <w:name w:val="修订3"/>
    <w:hidden/>
    <w:unhideWhenUsed/>
    <w:qFormat/>
    <w:uiPriority w:val="99"/>
    <w:rPr>
      <w:rFonts w:ascii="Times New Roman" w:hAnsi="Times New Roman" w:eastAsia="宋体" w:cs="Times New Roman"/>
      <w:kern w:val="2"/>
      <w:sz w:val="21"/>
      <w:szCs w:val="24"/>
      <w:lang w:val="en-US" w:eastAsia="zh-CN" w:bidi="ar-SA"/>
    </w:rPr>
  </w:style>
  <w:style w:type="character" w:customStyle="1" w:styleId="62">
    <w:name w:val="正文文本缩进 字符"/>
    <w:basedOn w:val="23"/>
    <w:link w:val="6"/>
    <w:qFormat/>
    <w:uiPriority w:val="0"/>
    <w:rPr>
      <w:kern w:val="2"/>
      <w:sz w:val="21"/>
      <w:szCs w:val="24"/>
    </w:rPr>
  </w:style>
  <w:style w:type="character" w:customStyle="1" w:styleId="63">
    <w:name w:val="正文文本 字符"/>
    <w:basedOn w:val="23"/>
    <w:link w:val="5"/>
    <w:qFormat/>
    <w:uiPriority w:val="0"/>
    <w:rPr>
      <w:kern w:val="2"/>
      <w:sz w:val="21"/>
      <w:szCs w:val="24"/>
    </w:rPr>
  </w:style>
  <w:style w:type="paragraph" w:customStyle="1" w:styleId="64">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65">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66">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中伦</Company>
  <Pages>41</Pages>
  <Words>25366</Words>
  <Characters>25524</Characters>
  <Lines>192</Lines>
  <Paragraphs>54</Paragraphs>
  <TotalTime>1920</TotalTime>
  <ScaleCrop>false</ScaleCrop>
  <LinksUpToDate>false</LinksUpToDate>
  <CharactersWithSpaces>25565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2026-02-10T11:51:00Z</dcterms:created>
  <dc:creator>中伦ABS团队</dc:creator>
  <cp:lastModifiedBy>赵澍</cp:lastModifiedBy>
  <cp:lastPrinted>2018-04-04T03:26:00Z</cp:lastPrinted>
  <dcterms:modified xsi:type="dcterms:W3CDTF">2026-05-06T06:21:24Z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eyJoZGlkIjoiOTc3M2Y5NzIzMDFlZjAyY2Q4Njk5ODkyYjFjNzBiNTQiLCJ1c2VySWQiOiI1MDczOTAyNjIifQ==</vt:lpwstr>
  </property>
  <property fmtid="{D5CDD505-2E9C-101B-9397-08002B2CF9AE}" pid="4" name="ICV">
    <vt:lpwstr>2694EE7FD0E4499E892D1188E06F18D1_13</vt:lpwstr>
  </property>
</Properties>
</file>